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5038ECEC" w14:textId="665759D0" w:rsidR="001015B4" w:rsidRDefault="009A429F" w:rsidP="00D025FF">
      <w:pPr>
        <w:pStyle w:val="Title"/>
      </w:pPr>
      <w:r>
        <w:t>Editorial</w:t>
      </w:r>
    </w:p>
    <w:p w14:paraId="44C54930" w14:textId="015AF80D" w:rsidR="009A429F" w:rsidRPr="00245EC0" w:rsidRDefault="009A429F" w:rsidP="009A429F">
      <w:pPr>
        <w:pStyle w:val="Title"/>
      </w:pPr>
      <w:bookmarkStart w:id="0" w:name="_f5h9vktm67hn" w:colFirst="0" w:colLast="0"/>
      <w:bookmarkEnd w:id="0"/>
      <w:r w:rsidRPr="00246331">
        <w:t xml:space="preserve">Disability and </w:t>
      </w:r>
      <w:r>
        <w:t>M</w:t>
      </w:r>
      <w:r w:rsidRPr="00246331">
        <w:t xml:space="preserve">ultilingualism: </w:t>
      </w:r>
      <w:r>
        <w:t>A</w:t>
      </w:r>
      <w:r w:rsidRPr="00246331">
        <w:t xml:space="preserve"> </w:t>
      </w:r>
      <w:r>
        <w:t>G</w:t>
      </w:r>
      <w:r w:rsidRPr="00246331">
        <w:t xml:space="preserve">lobal </w:t>
      </w:r>
      <w:r>
        <w:t>P</w:t>
      </w:r>
      <w:r w:rsidRPr="00246331">
        <w:t>erspective</w:t>
      </w:r>
    </w:p>
    <w:p w14:paraId="6CB5A72F" w14:textId="77777777" w:rsidR="009A429F" w:rsidRPr="00245EC0" w:rsidRDefault="009A429F" w:rsidP="00D96232">
      <w:pPr>
        <w:spacing w:after="120" w:line="360" w:lineRule="auto"/>
        <w:contextualSpacing/>
        <w:jc w:val="center"/>
        <w:rPr>
          <w:rStyle w:val="normaltextrun"/>
          <w:vertAlign w:val="superscript"/>
        </w:rPr>
      </w:pPr>
      <w:r>
        <w:t>Sona Kazemi</w:t>
      </w:r>
      <w:r w:rsidRPr="00245EC0">
        <w:rPr>
          <w:rStyle w:val="normaltextrun"/>
          <w:vertAlign w:val="superscript"/>
        </w:rPr>
        <w:t>1</w:t>
      </w:r>
      <w:r>
        <w:rPr>
          <w:rStyle w:val="normaltextrun"/>
        </w:rPr>
        <w:t xml:space="preserve"> and </w:t>
      </w:r>
      <w:proofErr w:type="spellStart"/>
      <w:r w:rsidRPr="007E7041">
        <w:t>Hemachandran</w:t>
      </w:r>
      <w:proofErr w:type="spellEnd"/>
      <w:r w:rsidRPr="007E7041">
        <w:t xml:space="preserve"> Karah</w:t>
      </w:r>
      <w:r w:rsidRPr="00245EC0">
        <w:rPr>
          <w:rStyle w:val="eop"/>
          <w:vertAlign w:val="superscript"/>
        </w:rPr>
        <w:t>2</w:t>
      </w:r>
    </w:p>
    <w:p w14:paraId="0FDBB83A" w14:textId="49FA3541" w:rsidR="009A429F" w:rsidRPr="00611C96" w:rsidRDefault="009A429F" w:rsidP="00D96232">
      <w:pPr>
        <w:spacing w:after="120" w:line="360" w:lineRule="auto"/>
        <w:contextualSpacing/>
        <w:jc w:val="center"/>
        <w:rPr>
          <w:rStyle w:val="normaltextrun"/>
        </w:rPr>
      </w:pPr>
      <w:r w:rsidRPr="00611C96">
        <w:rPr>
          <w:rStyle w:val="normaltextrun"/>
          <w:vertAlign w:val="superscript"/>
        </w:rPr>
        <w:t>1</w:t>
      </w:r>
      <w:r w:rsidRPr="00D96232">
        <w:rPr>
          <w:rStyle w:val="normaltextrun"/>
          <w:i/>
          <w:iCs/>
          <w:vertAlign w:val="superscript"/>
        </w:rPr>
        <w:t xml:space="preserve"> </w:t>
      </w:r>
      <w:r w:rsidRPr="00611C96">
        <w:rPr>
          <w:rStyle w:val="normaltextrun"/>
        </w:rPr>
        <w:t>Mills College</w:t>
      </w:r>
      <w:r w:rsidR="00D96232" w:rsidRPr="00611C96">
        <w:rPr>
          <w:rStyle w:val="normaltextrun"/>
        </w:rPr>
        <w:t>, California, United States</w:t>
      </w:r>
    </w:p>
    <w:p w14:paraId="7B37502D" w14:textId="2C542151" w:rsidR="009A429F" w:rsidRPr="00611C96" w:rsidRDefault="009A429F" w:rsidP="00D96232">
      <w:pPr>
        <w:spacing w:after="120" w:line="360" w:lineRule="auto"/>
        <w:contextualSpacing/>
        <w:jc w:val="center"/>
      </w:pPr>
      <w:r w:rsidRPr="00611C96">
        <w:rPr>
          <w:rStyle w:val="normaltextrun"/>
          <w:rFonts w:eastAsiaTheme="minorHAnsi"/>
          <w:vertAlign w:val="superscript"/>
          <w:lang w:val="en-IN"/>
        </w:rPr>
        <w:t>2</w:t>
      </w:r>
      <w:r w:rsidRPr="00611C96">
        <w:rPr>
          <w:rStyle w:val="normaltextrun"/>
          <w:vertAlign w:val="superscript"/>
        </w:rPr>
        <w:t xml:space="preserve"> </w:t>
      </w:r>
      <w:r w:rsidRPr="00611C96">
        <w:t>Indian Institute of Technology Madras</w:t>
      </w:r>
      <w:r w:rsidR="00D96232" w:rsidRPr="00611C96">
        <w:t xml:space="preserve">, </w:t>
      </w:r>
      <w:r w:rsidR="00F53D54">
        <w:rPr>
          <w:lang w:val="haw-US"/>
        </w:rPr>
        <w:t>Chennai</w:t>
      </w:r>
      <w:r w:rsidR="00D96232" w:rsidRPr="00611C96">
        <w:t>, India</w:t>
      </w:r>
    </w:p>
    <w:p w14:paraId="4EA735C9" w14:textId="2CC38F34" w:rsidR="00D00BE3" w:rsidRDefault="00D00BE3">
      <w:pPr>
        <w:widowControl/>
        <w:pBdr>
          <w:bottom w:val="none" w:sz="0" w:space="10" w:color="auto"/>
        </w:pBdr>
        <w:ind w:firstLine="0"/>
        <w:jc w:val="center"/>
        <w:rPr>
          <w:highlight w:val="white"/>
        </w:rPr>
      </w:pPr>
    </w:p>
    <w:p w14:paraId="6DA66DD4" w14:textId="44A8FF73" w:rsidR="00F9700B" w:rsidRPr="007D29E5" w:rsidRDefault="00F9700B" w:rsidP="00F9700B">
      <w:pPr>
        <w:spacing w:after="120" w:line="360" w:lineRule="auto"/>
      </w:pPr>
      <w:r w:rsidRPr="007D29E5">
        <w:t xml:space="preserve">It is with great honor and privilege </w:t>
      </w:r>
      <w:r>
        <w:t>that we</w:t>
      </w:r>
      <w:r w:rsidRPr="007D29E5">
        <w:t xml:space="preserve"> report our long envisioned, and politically imperative issue of the Global Perspective Section of the journal has finally materialized. As we had imagined this section, we hoped to create a space for multilingualism as a framework, political endeavor, accessibility commitment, and a cultural setting where languages appear more than an identity marker or private possession of a community. We have long believed that in some sense, multilingualism thrives when seemingly rigid monolingual communities see the need for crossing linguistic borders. All the same, crossing linguistic borders need not always involve bridge-making across languages. Instead, it can flourish amidst a spectrum of human expressions that can animate from nowhere. Because they are required to subvert rigid institutional arrangements, including the ones that accrue via linguistic hegemonies, disabled people and survivors of disabling traumas do go on to become active agents of such a multilingual crossover.</w:t>
      </w:r>
    </w:p>
    <w:p w14:paraId="24D04066" w14:textId="47737341" w:rsidR="00F9700B" w:rsidRPr="007D29E5" w:rsidRDefault="00F9700B" w:rsidP="00F9700B">
      <w:pPr>
        <w:spacing w:after="120" w:line="360" w:lineRule="auto"/>
      </w:pPr>
      <w:r w:rsidRPr="007D29E5">
        <w:t xml:space="preserve">For example, </w:t>
      </w:r>
      <w:bookmarkStart w:id="1" w:name="Start"/>
      <w:bookmarkStart w:id="2" w:name="Complete"/>
      <w:bookmarkEnd w:id="1"/>
      <w:bookmarkEnd w:id="2"/>
      <w:r w:rsidRPr="007D29E5">
        <w:t>disabled people may straddle across myriad expressions and registers so as to handle a life replete with activism, corporeal pain, structural violence, discriminatory interpersonal bonding, and caregiving. In all these situations, disabled people feel the need to break open regularized linguistic borders that they are routinely pushed into. Very often, these linguistic borders remain constrained by a monochromatic idiom with a penchant for ableism. Apparently, when disabled people break free from such linguistic borders by a million means, they end up inventing novel modalities of multilingualism.</w:t>
      </w:r>
    </w:p>
    <w:p w14:paraId="64434F8F" w14:textId="33196EDD" w:rsidR="00F9700B" w:rsidRPr="007D29E5" w:rsidRDefault="00F9700B" w:rsidP="00F9700B">
      <w:pPr>
        <w:spacing w:after="120" w:line="360" w:lineRule="auto"/>
      </w:pPr>
      <w:r w:rsidRPr="007D29E5">
        <w:t>Additionally, creating this section, we have hoped to complicate what it means to be, become, and remain disabled under exploitative social relations and oppressive historical continuities and discontinuities. To this end, we have strived to create a space that challenges what we think as “normative” disability expression, “normative” disabling conditions, and “normative” generational traumas mobilized by colonial, fascist, theocratic, and imperialistic legacies.</w:t>
      </w:r>
    </w:p>
    <w:p w14:paraId="05501E3C" w14:textId="0FDBFD46" w:rsidR="00F9700B" w:rsidRPr="007D29E5" w:rsidRDefault="00F9700B" w:rsidP="00F9700B">
      <w:pPr>
        <w:spacing w:after="120" w:line="360" w:lineRule="auto"/>
      </w:pPr>
      <w:r w:rsidRPr="007D29E5">
        <w:lastRenderedPageBreak/>
        <w:t>In this issue we have included two poems in Polish by a disability right</w:t>
      </w:r>
      <w:r w:rsidR="00FD12CE">
        <w:t>s</w:t>
      </w:r>
      <w:r w:rsidRPr="007D29E5">
        <w:t xml:space="preserve"> activist, Magda </w:t>
      </w:r>
      <w:proofErr w:type="spellStart"/>
      <w:r w:rsidRPr="007D29E5">
        <w:t>Szarota</w:t>
      </w:r>
      <w:proofErr w:type="spellEnd"/>
      <w:r w:rsidR="00BF29D5">
        <w:t>,</w:t>
      </w:r>
      <w:r w:rsidRPr="007D29E5">
        <w:t xml:space="preserve"> and a story in Turkish by Nibel Genc, </w:t>
      </w:r>
      <w:r w:rsidR="00A5484D">
        <w:t xml:space="preserve">a political activist </w:t>
      </w:r>
      <w:r w:rsidRPr="007D29E5">
        <w:t xml:space="preserve">imprisoned in Turkey </w:t>
      </w:r>
      <w:r w:rsidRPr="00A66DC0">
        <w:t>since 1994 defending the freedom and autonomy of Kurdish people.</w:t>
      </w:r>
    </w:p>
    <w:p w14:paraId="2F7DCA20" w14:textId="77777777" w:rsidR="002C3502" w:rsidRPr="002C3502" w:rsidRDefault="00F9700B" w:rsidP="00E832DB">
      <w:pPr>
        <w:pStyle w:val="ListBullet"/>
        <w:numPr>
          <w:ilvl w:val="0"/>
          <w:numId w:val="0"/>
        </w:numPr>
        <w:spacing w:line="480" w:lineRule="auto"/>
        <w:ind w:left="360" w:hanging="360"/>
        <w:rPr>
          <w:rFonts w:ascii="Times New Roman" w:hAnsi="Times New Roman" w:cs="Times New Roman"/>
          <w:sz w:val="24"/>
          <w:szCs w:val="24"/>
          <w:lang w:val="haw-US"/>
        </w:rPr>
      </w:pPr>
      <w:r w:rsidRPr="002C3502">
        <w:rPr>
          <w:rFonts w:ascii="Times New Roman" w:hAnsi="Times New Roman" w:cs="Times New Roman"/>
          <w:sz w:val="24"/>
          <w:szCs w:val="24"/>
        </w:rPr>
        <w:t xml:space="preserve">Magda </w:t>
      </w:r>
      <w:proofErr w:type="spellStart"/>
      <w:r w:rsidRPr="002C3502">
        <w:rPr>
          <w:rFonts w:ascii="Times New Roman" w:hAnsi="Times New Roman" w:cs="Times New Roman"/>
          <w:sz w:val="24"/>
          <w:szCs w:val="24"/>
          <w:shd w:val="clear" w:color="auto" w:fill="FFFFFF"/>
          <w:lang w:eastAsia="en-GB"/>
        </w:rPr>
        <w:t>Szarota</w:t>
      </w:r>
      <w:r w:rsidRPr="002C3502">
        <w:rPr>
          <w:rFonts w:ascii="Times New Roman" w:hAnsi="Times New Roman" w:cs="Times New Roman"/>
          <w:sz w:val="24"/>
          <w:szCs w:val="24"/>
        </w:rPr>
        <w:t>’s</w:t>
      </w:r>
      <w:proofErr w:type="spellEnd"/>
      <w:r w:rsidRPr="002C3502">
        <w:rPr>
          <w:rFonts w:ascii="Times New Roman" w:hAnsi="Times New Roman" w:cs="Times New Roman"/>
          <w:sz w:val="24"/>
          <w:szCs w:val="24"/>
        </w:rPr>
        <w:t xml:space="preserve"> poems in her own words are her</w:t>
      </w:r>
      <w:r w:rsidR="002C3502" w:rsidRPr="002C3502">
        <w:rPr>
          <w:rFonts w:ascii="Times New Roman" w:hAnsi="Times New Roman" w:cs="Times New Roman"/>
          <w:sz w:val="24"/>
          <w:szCs w:val="24"/>
          <w:lang w:val="haw-US"/>
        </w:rPr>
        <w:t>:</w:t>
      </w:r>
    </w:p>
    <w:p w14:paraId="6DA48BE2" w14:textId="4E890EC3" w:rsidR="00F9700B" w:rsidRPr="002C3502" w:rsidRDefault="00F9700B" w:rsidP="002C3502">
      <w:pPr>
        <w:pStyle w:val="ListBullet"/>
        <w:numPr>
          <w:ilvl w:val="0"/>
          <w:numId w:val="0"/>
        </w:numPr>
        <w:spacing w:after="120" w:line="360" w:lineRule="auto"/>
        <w:ind w:left="720"/>
        <w:rPr>
          <w:rFonts w:ascii="Times New Roman" w:hAnsi="Times New Roman" w:cs="Times New Roman"/>
          <w:i/>
          <w:iCs/>
          <w:sz w:val="24"/>
          <w:szCs w:val="24"/>
        </w:rPr>
      </w:pPr>
      <w:r w:rsidRPr="002C3502">
        <w:rPr>
          <w:rStyle w:val="Emphasis"/>
          <w:rFonts w:ascii="Times New Roman" w:hAnsi="Times New Roman" w:cs="Times New Roman"/>
          <w:i w:val="0"/>
          <w:iCs w:val="0"/>
          <w:sz w:val="24"/>
          <w:szCs w:val="24"/>
          <w:shd w:val="clear" w:color="auto" w:fill="FFFFFF"/>
        </w:rPr>
        <w:t>way of using poems to probe what it means to feel ‘whole’ and in tune with oneself vis-à-vis delineations and interventions imposed by medicine and culture. Specifically, as a disabled woman with invisible impairments [she] often face[s] people’s reactions that meander between harsh ableism and privileged treatment. Contradictory lived experiences that are interconnected with [her] ‘untypical’ and non-apparent impairments inform [her] poetry as well.</w:t>
      </w:r>
      <w:r w:rsidR="00E832DB" w:rsidRPr="002C3502">
        <w:rPr>
          <w:rStyle w:val="Emphasis"/>
          <w:rFonts w:ascii="Times New Roman" w:hAnsi="Times New Roman" w:cs="Times New Roman"/>
          <w:i w:val="0"/>
          <w:iCs w:val="0"/>
          <w:sz w:val="24"/>
          <w:szCs w:val="24"/>
          <w:shd w:val="clear" w:color="auto" w:fill="FFFFFF"/>
        </w:rPr>
        <w:t xml:space="preserve"> </w:t>
      </w:r>
      <w:r w:rsidR="00E832DB" w:rsidRPr="002C3502">
        <w:rPr>
          <w:rFonts w:ascii="Times New Roman" w:hAnsi="Times New Roman" w:cs="Times New Roman"/>
          <w:sz w:val="24"/>
          <w:szCs w:val="24"/>
        </w:rPr>
        <w:t>(</w:t>
      </w:r>
      <w:proofErr w:type="spellStart"/>
      <w:r w:rsidR="00E832DB" w:rsidRPr="002C3502">
        <w:rPr>
          <w:rFonts w:ascii="Times New Roman" w:hAnsi="Times New Roman" w:cs="Times New Roman"/>
          <w:sz w:val="24"/>
          <w:szCs w:val="24"/>
        </w:rPr>
        <w:t>Szarota</w:t>
      </w:r>
      <w:proofErr w:type="spellEnd"/>
      <w:r w:rsidR="00E832DB" w:rsidRPr="002C3502">
        <w:rPr>
          <w:rFonts w:ascii="Times New Roman" w:hAnsi="Times New Roman" w:cs="Times New Roman"/>
          <w:sz w:val="24"/>
          <w:szCs w:val="24"/>
        </w:rPr>
        <w:t>, 2020).</w:t>
      </w:r>
    </w:p>
    <w:p w14:paraId="5C973DC2" w14:textId="4C527F78" w:rsidR="00F9700B" w:rsidRPr="00A66DC0" w:rsidRDefault="003D1293" w:rsidP="00F9700B">
      <w:pPr>
        <w:spacing w:after="120" w:line="360" w:lineRule="auto"/>
        <w:rPr>
          <w:b/>
        </w:rPr>
      </w:pPr>
      <w:proofErr w:type="spellStart"/>
      <w:r>
        <w:rPr>
          <w:bCs/>
        </w:rPr>
        <w:t>Nibel</w:t>
      </w:r>
      <w:proofErr w:type="spellEnd"/>
      <w:r>
        <w:rPr>
          <w:bCs/>
        </w:rPr>
        <w:t xml:space="preserve"> </w:t>
      </w:r>
      <w:proofErr w:type="spellStart"/>
      <w:r>
        <w:rPr>
          <w:bCs/>
        </w:rPr>
        <w:t>Genc’s</w:t>
      </w:r>
      <w:proofErr w:type="spellEnd"/>
      <w:r>
        <w:rPr>
          <w:bCs/>
        </w:rPr>
        <w:t xml:space="preserve"> fiction story </w:t>
      </w:r>
      <w:r w:rsidR="00F9700B">
        <w:rPr>
          <w:bCs/>
        </w:rPr>
        <w:t>“</w:t>
      </w:r>
      <w:r w:rsidR="00F9700B" w:rsidRPr="00A66DC0">
        <w:rPr>
          <w:bCs/>
        </w:rPr>
        <w:t>The Engraved Lighter</w:t>
      </w:r>
      <w:r w:rsidR="00F9700B">
        <w:rPr>
          <w:bCs/>
        </w:rPr>
        <w:t>”</w:t>
      </w:r>
      <w:r w:rsidR="00F9700B" w:rsidRPr="00A66DC0">
        <w:rPr>
          <w:bCs/>
        </w:rPr>
        <w:t xml:space="preserve"> </w:t>
      </w:r>
      <w:r>
        <w:rPr>
          <w:bCs/>
        </w:rPr>
        <w:t xml:space="preserve">is about a </w:t>
      </w:r>
      <w:r w:rsidR="00F9700B" w:rsidRPr="00A66DC0">
        <w:t xml:space="preserve">great-grandfather who survived the 1938 </w:t>
      </w:r>
      <w:proofErr w:type="spellStart"/>
      <w:r w:rsidR="00F9700B" w:rsidRPr="00A66DC0">
        <w:t>Dersim</w:t>
      </w:r>
      <w:proofErr w:type="spellEnd"/>
      <w:r w:rsidR="00F9700B" w:rsidRPr="00A66DC0">
        <w:t xml:space="preserve"> massacre with his son, whom he managed to rescue from the hands of the Turkish soldiers. When they were caught and waiting for their fate to unfold, another prisoner</w:t>
      </w:r>
      <w:r w:rsidR="00F9700B">
        <w:t xml:space="preserve"> </w:t>
      </w:r>
      <w:r w:rsidR="00F9700B" w:rsidRPr="00A66DC0">
        <w:t xml:space="preserve">gave his engraved lighter to the great-grandfather just before </w:t>
      </w:r>
      <w:r w:rsidR="00F9700B">
        <w:t>the prisoner</w:t>
      </w:r>
      <w:r w:rsidR="00F9700B" w:rsidRPr="00A66DC0">
        <w:t xml:space="preserve"> was shot.</w:t>
      </w:r>
    </w:p>
    <w:p w14:paraId="5B4499F2" w14:textId="4DE3CBF6" w:rsidR="003D1293" w:rsidRDefault="003D1293" w:rsidP="003D1293">
      <w:pPr>
        <w:spacing w:before="100" w:beforeAutospacing="1" w:line="360" w:lineRule="atLeast"/>
      </w:pPr>
      <w:r>
        <w:t>S</w:t>
      </w:r>
      <w:r w:rsidRPr="00603992">
        <w:t xml:space="preserve">tories like </w:t>
      </w:r>
      <w:proofErr w:type="spellStart"/>
      <w:r w:rsidRPr="00603992">
        <w:t>Nibel</w:t>
      </w:r>
      <w:r>
        <w:t>’</w:t>
      </w:r>
      <w:r w:rsidRPr="00603992">
        <w:t>s</w:t>
      </w:r>
      <w:proofErr w:type="spellEnd"/>
      <w:r w:rsidRPr="00603992">
        <w:t>, besides possessing literary aesthetic, have the power to challenge what we already know about resisting unequal power relations such as colonialism, patriarchy, and ableism.</w:t>
      </w:r>
      <w:r>
        <w:t xml:space="preserve"> Th</w:t>
      </w:r>
      <w:r w:rsidR="00086E3D">
        <w:t xml:space="preserve">e </w:t>
      </w:r>
      <w:r>
        <w:t xml:space="preserve">story </w:t>
      </w:r>
      <w:r w:rsidRPr="00603992">
        <w:t>is that of struggle, humility, and interdependence, all values that social movements for autonomy and agency share. It is critical we realize that disabled people's struggle for freedom, access, autonomy, and equality is connected to Indigenous people</w:t>
      </w:r>
      <w:r w:rsidR="00E832DB">
        <w:t>’</w:t>
      </w:r>
      <w:r w:rsidRPr="00603992">
        <w:t>s anti-colonial struggle for self-determination</w:t>
      </w:r>
      <w:r>
        <w:t>.</w:t>
      </w:r>
    </w:p>
    <w:p w14:paraId="65599B79" w14:textId="39AE6C24" w:rsidR="00F9700B" w:rsidRDefault="00F9700B" w:rsidP="003D1293">
      <w:pPr>
        <w:widowControl/>
        <w:pBdr>
          <w:bottom w:val="none" w:sz="0" w:space="10" w:color="auto"/>
        </w:pBdr>
        <w:ind w:firstLine="0"/>
        <w:rPr>
          <w:highlight w:val="white"/>
        </w:rPr>
      </w:pPr>
    </w:p>
    <w:p w14:paraId="6E619455" w14:textId="38173682" w:rsidR="001015B4" w:rsidRDefault="00F069B9">
      <w:pPr>
        <w:pStyle w:val="Heading1"/>
      </w:pPr>
      <w:bookmarkStart w:id="3" w:name="_y2dav57i9mh2" w:colFirst="0" w:colLast="0"/>
      <w:bookmarkEnd w:id="3"/>
      <w:r>
        <w:t>References</w:t>
      </w:r>
    </w:p>
    <w:p w14:paraId="6D92ECC5" w14:textId="04802403" w:rsidR="00440CC6" w:rsidRPr="00440CC6" w:rsidRDefault="00440CC6" w:rsidP="00440CC6">
      <w:pPr>
        <w:spacing w:after="120" w:line="360" w:lineRule="auto"/>
        <w:ind w:left="720" w:hanging="720"/>
      </w:pPr>
      <w:proofErr w:type="spellStart"/>
      <w:r>
        <w:t>Genc</w:t>
      </w:r>
      <w:proofErr w:type="spellEnd"/>
      <w:r>
        <w:t xml:space="preserve">, N. (2017). </w:t>
      </w:r>
      <w:r>
        <w:rPr>
          <w:lang w:val="haw-US"/>
        </w:rPr>
        <w:t xml:space="preserve">The Engraved Lighter. </w:t>
      </w:r>
      <w:proofErr w:type="spellStart"/>
      <w:r w:rsidRPr="00EC4D87">
        <w:rPr>
          <w:i/>
          <w:iCs/>
        </w:rPr>
        <w:t>Misir</w:t>
      </w:r>
      <w:proofErr w:type="spellEnd"/>
      <w:r w:rsidRPr="00EC4D87">
        <w:rPr>
          <w:i/>
          <w:iCs/>
        </w:rPr>
        <w:t xml:space="preserve"> </w:t>
      </w:r>
      <w:proofErr w:type="spellStart"/>
      <w:r w:rsidRPr="00EC4D87">
        <w:rPr>
          <w:i/>
          <w:iCs/>
        </w:rPr>
        <w:t>Kocanlarini</w:t>
      </w:r>
      <w:proofErr w:type="spellEnd"/>
      <w:r w:rsidRPr="00EC4D87">
        <w:rPr>
          <w:i/>
          <w:iCs/>
        </w:rPr>
        <w:t xml:space="preserve"> </w:t>
      </w:r>
      <w:proofErr w:type="spellStart"/>
      <w:r w:rsidRPr="00EC4D87">
        <w:rPr>
          <w:i/>
          <w:iCs/>
        </w:rPr>
        <w:t>Kizartan</w:t>
      </w:r>
      <w:proofErr w:type="spellEnd"/>
      <w:r w:rsidRPr="00EC4D87">
        <w:rPr>
          <w:i/>
          <w:iCs/>
        </w:rPr>
        <w:t xml:space="preserve"> Koku</w:t>
      </w:r>
      <w:r>
        <w:t xml:space="preserve"> [The Smell That Turns the Corn Cobs Red]. Nota Bene </w:t>
      </w:r>
      <w:proofErr w:type="spellStart"/>
      <w:r>
        <w:t>Yayinlari</w:t>
      </w:r>
      <w:proofErr w:type="spellEnd"/>
      <w:r>
        <w:t>.</w:t>
      </w:r>
    </w:p>
    <w:p w14:paraId="7127F1C0" w14:textId="28FE7BF3" w:rsidR="0045136B" w:rsidRPr="00357E64" w:rsidRDefault="0045136B" w:rsidP="0045136B">
      <w:pPr>
        <w:spacing w:after="0" w:line="240" w:lineRule="auto"/>
        <w:ind w:left="720" w:hanging="720"/>
      </w:pPr>
      <w:proofErr w:type="spellStart"/>
      <w:r w:rsidRPr="00357E64">
        <w:rPr>
          <w:color w:val="333333"/>
          <w:shd w:val="clear" w:color="auto" w:fill="FFFFFF"/>
        </w:rPr>
        <w:t>Szarota</w:t>
      </w:r>
      <w:proofErr w:type="spellEnd"/>
      <w:r w:rsidRPr="00357E64">
        <w:rPr>
          <w:color w:val="333333"/>
          <w:shd w:val="clear" w:color="auto" w:fill="FFFFFF"/>
        </w:rPr>
        <w:t xml:space="preserve">, M. (2020). two poems / </w:t>
      </w:r>
      <w:proofErr w:type="spellStart"/>
      <w:r w:rsidRPr="00357E64">
        <w:rPr>
          <w:color w:val="333333"/>
          <w:shd w:val="clear" w:color="auto" w:fill="FFFFFF"/>
        </w:rPr>
        <w:t>dwa</w:t>
      </w:r>
      <w:proofErr w:type="spellEnd"/>
      <w:r w:rsidRPr="00357E64">
        <w:rPr>
          <w:color w:val="333333"/>
          <w:shd w:val="clear" w:color="auto" w:fill="FFFFFF"/>
        </w:rPr>
        <w:t xml:space="preserve"> </w:t>
      </w:r>
      <w:proofErr w:type="spellStart"/>
      <w:r w:rsidRPr="00357E64">
        <w:rPr>
          <w:color w:val="333333"/>
          <w:shd w:val="clear" w:color="auto" w:fill="FFFFFF"/>
        </w:rPr>
        <w:t>wiersze</w:t>
      </w:r>
      <w:proofErr w:type="spellEnd"/>
      <w:r w:rsidRPr="00357E64">
        <w:rPr>
          <w:color w:val="333333"/>
          <w:shd w:val="clear" w:color="auto" w:fill="FFFFFF"/>
        </w:rPr>
        <w:t>.</w:t>
      </w:r>
      <w:r>
        <w:rPr>
          <w:color w:val="333333"/>
          <w:shd w:val="clear" w:color="auto" w:fill="FFFFFF"/>
        </w:rPr>
        <w:t xml:space="preserve"> </w:t>
      </w:r>
      <w:r w:rsidRPr="00357E64">
        <w:rPr>
          <w:i/>
          <w:iCs/>
          <w:color w:val="333333"/>
          <w:shd w:val="clear" w:color="auto" w:fill="FFFFFF"/>
        </w:rPr>
        <w:t xml:space="preserve">Review of Disability Studies: An International Journal, </w:t>
      </w:r>
      <w:r>
        <w:rPr>
          <w:i/>
          <w:iCs/>
          <w:color w:val="333333"/>
          <w:shd w:val="clear" w:color="auto" w:fill="FFFFFF"/>
        </w:rPr>
        <w:t>15</w:t>
      </w:r>
      <w:r w:rsidRPr="00357E64">
        <w:rPr>
          <w:color w:val="333333"/>
          <w:shd w:val="clear" w:color="auto" w:fill="FFFFFF"/>
        </w:rPr>
        <w:t>(</w:t>
      </w:r>
      <w:r>
        <w:rPr>
          <w:color w:val="333333"/>
          <w:shd w:val="clear" w:color="auto" w:fill="FFFFFF"/>
        </w:rPr>
        <w:t>2–4</w:t>
      </w:r>
      <w:r w:rsidRPr="00357E64">
        <w:rPr>
          <w:color w:val="333333"/>
          <w:shd w:val="clear" w:color="auto" w:fill="FFFFFF"/>
        </w:rPr>
        <w:t>)</w:t>
      </w:r>
      <w:r>
        <w:rPr>
          <w:color w:val="333333"/>
          <w:shd w:val="clear" w:color="auto" w:fill="FFFFFF"/>
        </w:rPr>
        <w:t>.</w:t>
      </w:r>
    </w:p>
    <w:p w14:paraId="28E13C99" w14:textId="63DE82EF" w:rsidR="00557A00" w:rsidRDefault="00557A00" w:rsidP="00E96A4E">
      <w:pPr>
        <w:ind w:left="720" w:hanging="720"/>
      </w:pPr>
    </w:p>
    <w:p w14:paraId="7C398853" w14:textId="5EE9778A" w:rsidR="00812CA1" w:rsidRPr="00440CC6" w:rsidRDefault="00557A00" w:rsidP="00440CC6">
      <w:pPr>
        <w:ind w:firstLine="0"/>
      </w:pPr>
      <w:r>
        <w:rPr>
          <w:noProof/>
        </w:rPr>
        <w:drawing>
          <wp:inline distT="114300" distB="114300" distL="114300" distR="114300" wp14:anchorId="5B5AD2A8" wp14:editId="77879F9D">
            <wp:extent cx="762000" cy="142875"/>
            <wp:effectExtent l="0" t="0" r="0" b="0"/>
            <wp:docPr id="4" name="image5.png" descr="Creative Commons License by 4.0">
              <a:hlinkClick xmlns:a="http://schemas.openxmlformats.org/drawingml/2006/main" r:id="rId7"/>
            </wp:docPr>
            <wp:cNvGraphicFramePr/>
            <a:graphic xmlns:a="http://schemas.openxmlformats.org/drawingml/2006/main">
              <a:graphicData uri="http://schemas.openxmlformats.org/drawingml/2006/picture">
                <pic:pic xmlns:pic="http://schemas.openxmlformats.org/drawingml/2006/picture">
                  <pic:nvPicPr>
                    <pic:cNvPr id="4" name="image5.png" descr="Creative Commons License by 4.0">
                      <a:hlinkClick r:id="rId7"/>
                    </pic:cNvPr>
                    <pic:cNvPicPr preferRelativeResize="0"/>
                  </pic:nvPicPr>
                  <pic:blipFill>
                    <a:blip r:embed="rId8"/>
                    <a:srcRect/>
                    <a:stretch>
                      <a:fillRect/>
                    </a:stretch>
                  </pic:blipFill>
                  <pic:spPr>
                    <a:xfrm>
                      <a:off x="0" y="0"/>
                      <a:ext cx="762000" cy="142875"/>
                    </a:xfrm>
                    <a:prstGeom prst="rect">
                      <a:avLst/>
                    </a:prstGeom>
                    <a:ln/>
                  </pic:spPr>
                </pic:pic>
              </a:graphicData>
            </a:graphic>
          </wp:inline>
        </w:drawing>
      </w:r>
      <w:r>
        <w:t xml:space="preserve"> </w:t>
      </w:r>
      <w:r w:rsidR="00440CC6">
        <w:t>Disability and Multilingualism: A Global Perspective</w:t>
      </w:r>
      <w:r>
        <w:t xml:space="preserve"> by</w:t>
      </w:r>
      <w:r w:rsidR="00CF5D78">
        <w:t xml:space="preserve"> </w:t>
      </w:r>
      <w:hyperlink r:id="rId9" w:history="1">
        <w:r w:rsidR="00440CC6" w:rsidRPr="00440CC6">
          <w:rPr>
            <w:rStyle w:val="Hyperlink"/>
          </w:rPr>
          <w:t>Sona Kazemi and Hemachandran Karah</w:t>
        </w:r>
      </w:hyperlink>
      <w:r w:rsidR="00440CC6">
        <w:t xml:space="preserve"> </w:t>
      </w:r>
      <w:r w:rsidR="008244B1" w:rsidRPr="00980F34">
        <w:rPr>
          <w:color w:val="000000" w:themeColor="text1"/>
        </w:rPr>
        <w:t>https://rdsjournal.org/index.php/journal/article/view/</w:t>
      </w:r>
      <w:r w:rsidR="00440CC6">
        <w:rPr>
          <w:color w:val="000000" w:themeColor="text1"/>
        </w:rPr>
        <w:t>1028</w:t>
      </w:r>
      <w:r w:rsidR="00CF5D78">
        <w:t xml:space="preserve"> </w:t>
      </w:r>
      <w:r>
        <w:t>is licensed under a</w:t>
      </w:r>
      <w:hyperlink r:id="rId10">
        <w:r>
          <w:t xml:space="preserve"> </w:t>
        </w:r>
      </w:hyperlink>
      <w:hyperlink r:id="rId11">
        <w:r>
          <w:rPr>
            <w:color w:val="1155CC"/>
            <w:u w:val="single"/>
          </w:rPr>
          <w:t>Creative Commons Attribution 4.0 International License</w:t>
        </w:r>
      </w:hyperlink>
      <w:r>
        <w:t>. Based on a work at</w:t>
      </w:r>
      <w:hyperlink r:id="rId12">
        <w:r>
          <w:t xml:space="preserve"> </w:t>
        </w:r>
      </w:hyperlink>
      <w:hyperlink r:id="rId13">
        <w:r>
          <w:rPr>
            <w:color w:val="1155CC"/>
            <w:u w:val="single"/>
          </w:rPr>
          <w:t>https://rdsjournal.org</w:t>
        </w:r>
      </w:hyperlink>
      <w:r>
        <w:t>.</w:t>
      </w:r>
    </w:p>
    <w:sectPr w:rsidR="00812CA1" w:rsidRPr="00440CC6" w:rsidSect="00EA025E">
      <w:headerReference w:type="even" r:id="rId14"/>
      <w:headerReference w:type="default" r:id="rId15"/>
      <w:footerReference w:type="even" r:id="rId16"/>
      <w:footerReference w:type="default" r:id="rId17"/>
      <w:headerReference w:type="first" r:id="rId18"/>
      <w:footerReference w:type="first" r:id="rId19"/>
      <w:pgSz w:w="11894" w:h="16819"/>
      <w:pgMar w:top="1411" w:right="1411" w:bottom="1411" w:left="1411" w:header="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A232045" w14:textId="77777777" w:rsidR="00E4056B" w:rsidRDefault="00E4056B">
      <w:pPr>
        <w:spacing w:after="0" w:line="240" w:lineRule="auto"/>
      </w:pPr>
      <w:r>
        <w:separator/>
      </w:r>
    </w:p>
  </w:endnote>
  <w:endnote w:type="continuationSeparator" w:id="0">
    <w:p w14:paraId="57C7E7C3" w14:textId="77777777" w:rsidR="00E4056B" w:rsidRDefault="00E405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altName w:val="﷽﷽﷽﷽﷽﷽﷽﷽䄀"/>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4D7F17" w14:textId="77777777" w:rsidR="00EA025E" w:rsidRDefault="00EA0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50FB2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tbl>
    <w:tblPr>
      <w:tblStyle w:val="a0"/>
      <w:tblW w:w="11895" w:type="dxa"/>
      <w:jc w:val="center"/>
      <w:tblLayout w:type="fixed"/>
      <w:tblLook w:val="0600" w:firstRow="0" w:lastRow="0" w:firstColumn="0" w:lastColumn="0" w:noHBand="1" w:noVBand="1"/>
    </w:tblPr>
    <w:tblGrid>
      <w:gridCol w:w="11895"/>
    </w:tblGrid>
    <w:tr w:rsidR="001015B4" w14:paraId="291619A5" w14:textId="77777777">
      <w:trPr>
        <w:trHeight w:val="500"/>
        <w:jc w:val="center"/>
      </w:trPr>
      <w:tc>
        <w:tcPr>
          <w:tcW w:w="11895" w:type="dxa"/>
          <w:shd w:val="clear" w:color="auto" w:fill="400080"/>
          <w:tcMar>
            <w:top w:w="0" w:type="dxa"/>
            <w:left w:w="0" w:type="dxa"/>
            <w:bottom w:w="0" w:type="dxa"/>
            <w:right w:w="0" w:type="dxa"/>
          </w:tcMar>
          <w:vAlign w:val="center"/>
        </w:tcPr>
        <w:p w14:paraId="52BFF490" w14:textId="77777777" w:rsidR="001015B4" w:rsidRDefault="00F069B9">
          <w:pPr>
            <w:pBdr>
              <w:top w:val="nil"/>
              <w:left w:val="nil"/>
              <w:bottom w:val="nil"/>
              <w:right w:val="nil"/>
              <w:between w:val="nil"/>
            </w:pBdr>
            <w:spacing w:after="0" w:line="240" w:lineRule="auto"/>
            <w:ind w:firstLine="0"/>
            <w:jc w:val="center"/>
            <w:rPr>
              <w:rFonts w:ascii="Arial" w:eastAsia="Arial" w:hAnsi="Arial" w:cs="Arial"/>
              <w:color w:val="FFFFFF"/>
            </w:rPr>
          </w:pPr>
          <w:r>
            <w:rPr>
              <w:rFonts w:ascii="Arial" w:eastAsia="Arial" w:hAnsi="Arial" w:cs="Arial"/>
              <w:color w:val="FFFFFF"/>
            </w:rPr>
            <w:t xml:space="preserve">Page </w:t>
          </w: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950C2B">
            <w:rPr>
              <w:rFonts w:ascii="Arial" w:eastAsia="Arial" w:hAnsi="Arial" w:cs="Arial"/>
              <w:noProof/>
              <w:color w:val="FFFFFF"/>
            </w:rPr>
            <w:t>1</w:t>
          </w:r>
          <w:r>
            <w:rPr>
              <w:rFonts w:ascii="Arial" w:eastAsia="Arial" w:hAnsi="Arial" w:cs="Arial"/>
              <w:color w:val="FFFFFF"/>
            </w:rPr>
            <w:fldChar w:fldCharType="end"/>
          </w:r>
        </w:p>
      </w:tc>
    </w:tr>
  </w:tbl>
  <w:p w14:paraId="4FE2A6E8" w14:textId="77777777" w:rsidR="001015B4" w:rsidRDefault="001015B4">
    <w:pPr>
      <w:pBdr>
        <w:top w:val="nil"/>
        <w:left w:val="nil"/>
        <w:bottom w:val="nil"/>
        <w:right w:val="nil"/>
        <w:between w:val="nil"/>
      </w:pBdr>
      <w:tabs>
        <w:tab w:val="center" w:pos="4536"/>
        <w:tab w:val="right" w:pos="9072"/>
      </w:tabs>
      <w:spacing w:after="0" w:line="240" w:lineRule="auto"/>
      <w:ind w:right="360"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8037EF" w14:textId="77777777" w:rsidR="00EA025E" w:rsidRDefault="00EA02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B7A89D" w14:textId="77777777" w:rsidR="00E4056B" w:rsidRDefault="00E4056B">
      <w:pPr>
        <w:spacing w:after="0" w:line="240" w:lineRule="auto"/>
      </w:pPr>
      <w:r>
        <w:separator/>
      </w:r>
    </w:p>
  </w:footnote>
  <w:footnote w:type="continuationSeparator" w:id="0">
    <w:p w14:paraId="54B0A953" w14:textId="77777777" w:rsidR="00E4056B" w:rsidRDefault="00E405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3B3DC2" w14:textId="77777777" w:rsidR="00950C2B" w:rsidRDefault="00950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9A509B" w14:textId="77777777" w:rsidR="001015B4" w:rsidRDefault="001015B4">
    <w:pPr>
      <w:pBdr>
        <w:top w:val="nil"/>
        <w:left w:val="nil"/>
        <w:bottom w:val="nil"/>
        <w:right w:val="nil"/>
        <w:between w:val="nil"/>
      </w:pBdr>
      <w:spacing w:after="0"/>
    </w:pPr>
  </w:p>
  <w:tbl>
    <w:tblPr>
      <w:tblStyle w:val="a"/>
      <w:tblW w:w="14145" w:type="dxa"/>
      <w:jc w:val="center"/>
      <w:tblLayout w:type="fixed"/>
      <w:tblLook w:val="0400" w:firstRow="0" w:lastRow="0" w:firstColumn="0" w:lastColumn="0" w:noHBand="0" w:noVBand="1"/>
    </w:tblPr>
    <w:tblGrid>
      <w:gridCol w:w="9810"/>
      <w:gridCol w:w="4335"/>
    </w:tblGrid>
    <w:tr w:rsidR="001015B4" w14:paraId="7419D641" w14:textId="77777777" w:rsidTr="00EA025E">
      <w:trPr>
        <w:trHeight w:val="800"/>
        <w:jc w:val="center"/>
      </w:trPr>
      <w:tc>
        <w:tcPr>
          <w:tcW w:w="9810" w:type="dxa"/>
          <w:shd w:val="clear" w:color="auto" w:fill="400080"/>
          <w:vAlign w:val="center"/>
        </w:tcPr>
        <w:p w14:paraId="6B134AE2" w14:textId="77777777" w:rsidR="001015B4" w:rsidRDefault="00F069B9">
          <w:pPr>
            <w:widowControl/>
            <w:pBdr>
              <w:top w:val="nil"/>
              <w:left w:val="nil"/>
              <w:bottom w:val="nil"/>
              <w:right w:val="nil"/>
              <w:between w:val="nil"/>
            </w:pBdr>
            <w:tabs>
              <w:tab w:val="center" w:pos="4320"/>
              <w:tab w:val="right" w:pos="8640"/>
            </w:tabs>
            <w:spacing w:after="0" w:line="240" w:lineRule="auto"/>
            <w:jc w:val="right"/>
            <w:rPr>
              <w:rFonts w:ascii="Arial" w:eastAsia="Arial" w:hAnsi="Arial" w:cs="Arial"/>
              <w:b/>
              <w:smallCaps/>
              <w:color w:val="FFFFFF"/>
            </w:rPr>
          </w:pPr>
          <w:r>
            <w:rPr>
              <w:rFonts w:ascii="Arial" w:eastAsia="Arial" w:hAnsi="Arial" w:cs="Arial"/>
              <w:b/>
              <w:smallCaps/>
              <w:color w:val="FFFFFF"/>
            </w:rPr>
            <w:t>REVIEW OF DISABILITY STUDIES: AN INTERNATIONAL JOURNAL</w:t>
          </w:r>
        </w:p>
      </w:tc>
      <w:tc>
        <w:tcPr>
          <w:tcW w:w="4335" w:type="dxa"/>
          <w:shd w:val="clear" w:color="auto" w:fill="000000"/>
          <w:vAlign w:val="center"/>
        </w:tcPr>
        <w:p w14:paraId="4C3E68E6" w14:textId="71694B96" w:rsidR="001015B4" w:rsidRDefault="00F069B9">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Volume 1</w:t>
          </w:r>
          <w:r w:rsidR="00950C2B">
            <w:rPr>
              <w:rFonts w:ascii="Arial" w:eastAsia="Arial" w:hAnsi="Arial" w:cs="Arial"/>
              <w:b/>
              <w:color w:val="FFFFFF"/>
            </w:rPr>
            <w:t>6</w:t>
          </w:r>
          <w:r w:rsidR="003E2D97">
            <w:rPr>
              <w:rFonts w:ascii="Arial" w:eastAsia="Arial" w:hAnsi="Arial" w:cs="Arial"/>
              <w:b/>
              <w:color w:val="FFFFFF"/>
            </w:rPr>
            <w:t>,</w:t>
          </w:r>
          <w:r w:rsidR="000F0C61">
            <w:rPr>
              <w:rFonts w:ascii="Arial" w:eastAsia="Arial" w:hAnsi="Arial" w:cs="Arial"/>
              <w:b/>
              <w:color w:val="FFFFFF"/>
            </w:rPr>
            <w:t xml:space="preserve"> </w:t>
          </w:r>
          <w:r>
            <w:rPr>
              <w:rFonts w:ascii="Arial" w:eastAsia="Arial" w:hAnsi="Arial" w:cs="Arial"/>
              <w:b/>
              <w:color w:val="FFFFFF"/>
            </w:rPr>
            <w:t xml:space="preserve">Issue </w:t>
          </w:r>
          <w:r w:rsidR="00EA025E">
            <w:rPr>
              <w:rFonts w:ascii="Arial" w:eastAsia="Arial" w:hAnsi="Arial" w:cs="Arial"/>
              <w:b/>
              <w:color w:val="FFFFFF"/>
            </w:rPr>
            <w:t>2–4</w:t>
          </w:r>
        </w:p>
        <w:p w14:paraId="5E2CB49D" w14:textId="03703CAF" w:rsidR="000F0C61" w:rsidRDefault="000F0C61" w:rsidP="000F0C61">
          <w:pPr>
            <w:widowControl/>
            <w:pBdr>
              <w:top w:val="nil"/>
              <w:left w:val="nil"/>
              <w:bottom w:val="nil"/>
              <w:right w:val="nil"/>
              <w:between w:val="nil"/>
            </w:pBdr>
            <w:tabs>
              <w:tab w:val="center" w:pos="4320"/>
              <w:tab w:val="right" w:pos="8640"/>
            </w:tabs>
            <w:spacing w:after="0" w:line="240" w:lineRule="auto"/>
            <w:ind w:left="405" w:hanging="187"/>
            <w:rPr>
              <w:rFonts w:ascii="Arial" w:eastAsia="Arial" w:hAnsi="Arial" w:cs="Arial"/>
              <w:b/>
              <w:color w:val="FFFFFF"/>
            </w:rPr>
          </w:pPr>
          <w:r>
            <w:rPr>
              <w:rFonts w:ascii="Arial" w:eastAsia="Arial" w:hAnsi="Arial" w:cs="Arial"/>
              <w:b/>
              <w:color w:val="FFFFFF"/>
            </w:rPr>
            <w:t>S</w:t>
          </w:r>
          <w:r w:rsidR="00EA025E">
            <w:rPr>
              <w:rFonts w:ascii="Arial" w:eastAsia="Arial" w:hAnsi="Arial" w:cs="Arial"/>
              <w:b/>
              <w:color w:val="FFFFFF"/>
            </w:rPr>
            <w:t xml:space="preserve">ummer–Winter </w:t>
          </w:r>
          <w:r>
            <w:rPr>
              <w:rFonts w:ascii="Arial" w:eastAsia="Arial" w:hAnsi="Arial" w:cs="Arial"/>
              <w:b/>
              <w:color w:val="FFFFFF"/>
            </w:rPr>
            <w:t>2020</w:t>
          </w:r>
        </w:p>
      </w:tc>
    </w:tr>
  </w:tbl>
  <w:p w14:paraId="1E3D790C" w14:textId="77777777" w:rsidR="001015B4" w:rsidRDefault="001015B4">
    <w:pPr>
      <w:pBdr>
        <w:top w:val="nil"/>
        <w:left w:val="nil"/>
        <w:bottom w:val="nil"/>
        <w:right w:val="nil"/>
        <w:between w:val="nil"/>
      </w:pBdr>
      <w:tabs>
        <w:tab w:val="center" w:pos="4320"/>
        <w:tab w:val="right" w:pos="8640"/>
      </w:tabs>
      <w:spacing w:after="0" w:line="240" w:lineRule="auto"/>
      <w:ind w:firstLine="0"/>
      <w:rPr>
        <w:rFonts w:ascii="Calibri" w:eastAsia="Calibri" w:hAnsi="Calibri" w:cs="Calibri"/>
        <w:color w:val="000000"/>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E62A3" w14:textId="77777777" w:rsidR="00950C2B" w:rsidRDefault="00950C2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DCE6F882"/>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displayBackgroundShap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15B4"/>
    <w:rsid w:val="00003B5A"/>
    <w:rsid w:val="00085333"/>
    <w:rsid w:val="00086E3D"/>
    <w:rsid w:val="000D3BEA"/>
    <w:rsid w:val="000F0C61"/>
    <w:rsid w:val="001015B4"/>
    <w:rsid w:val="0016126F"/>
    <w:rsid w:val="002C3502"/>
    <w:rsid w:val="003D1293"/>
    <w:rsid w:val="003E2D97"/>
    <w:rsid w:val="004019F0"/>
    <w:rsid w:val="00440CC6"/>
    <w:rsid w:val="0045136B"/>
    <w:rsid w:val="004618D3"/>
    <w:rsid w:val="004757E0"/>
    <w:rsid w:val="004E01BA"/>
    <w:rsid w:val="00505B27"/>
    <w:rsid w:val="005505AC"/>
    <w:rsid w:val="00557A00"/>
    <w:rsid w:val="00611C96"/>
    <w:rsid w:val="00615763"/>
    <w:rsid w:val="00653439"/>
    <w:rsid w:val="006B0678"/>
    <w:rsid w:val="006E2714"/>
    <w:rsid w:val="007C2F6E"/>
    <w:rsid w:val="00803AE4"/>
    <w:rsid w:val="00812CA1"/>
    <w:rsid w:val="008244B1"/>
    <w:rsid w:val="00863CB9"/>
    <w:rsid w:val="008A509E"/>
    <w:rsid w:val="00950C2B"/>
    <w:rsid w:val="00993D59"/>
    <w:rsid w:val="009A429F"/>
    <w:rsid w:val="00A5484D"/>
    <w:rsid w:val="00B81034"/>
    <w:rsid w:val="00BA7A52"/>
    <w:rsid w:val="00BD4BE5"/>
    <w:rsid w:val="00BF29D5"/>
    <w:rsid w:val="00C016AD"/>
    <w:rsid w:val="00C472C7"/>
    <w:rsid w:val="00CF5D78"/>
    <w:rsid w:val="00D00BE3"/>
    <w:rsid w:val="00D025FF"/>
    <w:rsid w:val="00D11B3A"/>
    <w:rsid w:val="00D30FC5"/>
    <w:rsid w:val="00D40295"/>
    <w:rsid w:val="00D82485"/>
    <w:rsid w:val="00D96232"/>
    <w:rsid w:val="00DE2834"/>
    <w:rsid w:val="00E4056B"/>
    <w:rsid w:val="00E76029"/>
    <w:rsid w:val="00E832DB"/>
    <w:rsid w:val="00E96A4E"/>
    <w:rsid w:val="00EA025E"/>
    <w:rsid w:val="00EE0084"/>
    <w:rsid w:val="00EF5902"/>
    <w:rsid w:val="00F069B9"/>
    <w:rsid w:val="00F53D54"/>
    <w:rsid w:val="00F72333"/>
    <w:rsid w:val="00F9700B"/>
    <w:rsid w:val="00FC13A8"/>
    <w:rsid w:val="00FD12CE"/>
    <w:rsid w:val="00FE73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82A942"/>
  <w15:docId w15:val="{DCF2BE3F-A2E6-8442-9195-0FC4D902B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en-US" w:eastAsia="ja-JP" w:bidi="ar-SA"/>
      </w:rPr>
    </w:rPrDefault>
    <w:pPrDefault>
      <w:pPr>
        <w:widowControl w:val="0"/>
        <w:spacing w:after="200" w:line="276" w:lineRule="auto"/>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ind w:firstLine="23"/>
      <w:jc w:val="center"/>
      <w:outlineLvl w:val="0"/>
    </w:pPr>
    <w:rPr>
      <w:rFonts w:ascii="Arial" w:eastAsia="Arial" w:hAnsi="Arial" w:cs="Arial"/>
      <w:b/>
      <w:sz w:val="28"/>
      <w:szCs w:val="28"/>
    </w:rPr>
  </w:style>
  <w:style w:type="paragraph" w:styleId="Heading2">
    <w:name w:val="heading 2"/>
    <w:basedOn w:val="Normal"/>
    <w:next w:val="Normal"/>
    <w:uiPriority w:val="9"/>
    <w:unhideWhenUsed/>
    <w:qFormat/>
    <w:pPr>
      <w:pBdr>
        <w:top w:val="nil"/>
        <w:left w:val="nil"/>
        <w:bottom w:val="nil"/>
        <w:right w:val="nil"/>
        <w:between w:val="nil"/>
      </w:pBdr>
      <w:spacing w:after="0"/>
      <w:ind w:firstLine="23"/>
      <w:outlineLvl w:val="1"/>
    </w:pPr>
    <w:rPr>
      <w:rFonts w:ascii="Arial" w:eastAsia="Arial" w:hAnsi="Arial" w:cs="Arial"/>
      <w:b/>
    </w:rPr>
  </w:style>
  <w:style w:type="paragraph" w:styleId="Heading3">
    <w:name w:val="heading 3"/>
    <w:basedOn w:val="Normal"/>
    <w:next w:val="Normal"/>
    <w:uiPriority w:val="9"/>
    <w:unhideWhenUsed/>
    <w:qFormat/>
    <w:pPr>
      <w:keepNext/>
      <w:keepLines/>
      <w:pBdr>
        <w:top w:val="nil"/>
        <w:left w:val="nil"/>
        <w:bottom w:val="nil"/>
        <w:right w:val="nil"/>
        <w:between w:val="nil"/>
      </w:pBdr>
      <w:spacing w:after="0"/>
      <w:ind w:firstLine="0"/>
      <w:outlineLvl w:val="2"/>
    </w:pPr>
  </w:style>
  <w:style w:type="paragraph" w:styleId="Heading4">
    <w:name w:val="heading 4"/>
    <w:basedOn w:val="Normal"/>
    <w:next w:val="Normal"/>
    <w:uiPriority w:val="9"/>
    <w:semiHidden/>
    <w:unhideWhenUsed/>
    <w:qFormat/>
    <w:pPr>
      <w:keepNext/>
      <w:keepLines/>
      <w:spacing w:after="240"/>
      <w:ind w:left="567" w:hanging="567"/>
      <w:outlineLvl w:val="3"/>
    </w:p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00D025FF"/>
    <w:pPr>
      <w:ind w:firstLine="29"/>
      <w:jc w:val="center"/>
    </w:pPr>
    <w:rPr>
      <w:rFonts w:ascii="Arial" w:eastAsia="Arial" w:hAnsi="Arial" w:cs="Arial"/>
      <w:b/>
      <w:sz w:val="28"/>
      <w:szCs w:val="2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950C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0C2B"/>
  </w:style>
  <w:style w:type="paragraph" w:styleId="Footer">
    <w:name w:val="footer"/>
    <w:basedOn w:val="Normal"/>
    <w:link w:val="FooterChar"/>
    <w:uiPriority w:val="99"/>
    <w:unhideWhenUsed/>
    <w:rsid w:val="00950C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0C2B"/>
  </w:style>
  <w:style w:type="character" w:styleId="Hyperlink">
    <w:name w:val="Hyperlink"/>
    <w:basedOn w:val="DefaultParagraphFont"/>
    <w:uiPriority w:val="99"/>
    <w:unhideWhenUsed/>
    <w:rsid w:val="00557A00"/>
    <w:rPr>
      <w:color w:val="0000FF" w:themeColor="hyperlink"/>
      <w:u w:val="single"/>
    </w:rPr>
  </w:style>
  <w:style w:type="character" w:styleId="UnresolvedMention">
    <w:name w:val="Unresolved Mention"/>
    <w:basedOn w:val="DefaultParagraphFont"/>
    <w:uiPriority w:val="99"/>
    <w:semiHidden/>
    <w:unhideWhenUsed/>
    <w:rsid w:val="00557A00"/>
    <w:rPr>
      <w:color w:val="605E5C"/>
      <w:shd w:val="clear" w:color="auto" w:fill="E1DFDD"/>
    </w:rPr>
  </w:style>
  <w:style w:type="character" w:styleId="FollowedHyperlink">
    <w:name w:val="FollowedHyperlink"/>
    <w:basedOn w:val="DefaultParagraphFont"/>
    <w:uiPriority w:val="99"/>
    <w:semiHidden/>
    <w:unhideWhenUsed/>
    <w:rsid w:val="00557A00"/>
    <w:rPr>
      <w:color w:val="800080" w:themeColor="followedHyperlink"/>
      <w:u w:val="single"/>
    </w:rPr>
  </w:style>
  <w:style w:type="paragraph" w:styleId="BalloonText">
    <w:name w:val="Balloon Text"/>
    <w:basedOn w:val="Normal"/>
    <w:link w:val="BalloonTextChar"/>
    <w:uiPriority w:val="99"/>
    <w:semiHidden/>
    <w:unhideWhenUsed/>
    <w:rsid w:val="006B0678"/>
    <w:pPr>
      <w:spacing w:after="0" w:line="240" w:lineRule="auto"/>
    </w:pPr>
    <w:rPr>
      <w:sz w:val="18"/>
      <w:szCs w:val="18"/>
    </w:rPr>
  </w:style>
  <w:style w:type="character" w:customStyle="1" w:styleId="BalloonTextChar">
    <w:name w:val="Balloon Text Char"/>
    <w:basedOn w:val="DefaultParagraphFont"/>
    <w:link w:val="BalloonText"/>
    <w:uiPriority w:val="99"/>
    <w:semiHidden/>
    <w:rsid w:val="006B0678"/>
    <w:rPr>
      <w:sz w:val="18"/>
      <w:szCs w:val="18"/>
    </w:rPr>
  </w:style>
  <w:style w:type="paragraph" w:styleId="NormalWeb">
    <w:name w:val="Normal (Web)"/>
    <w:basedOn w:val="Normal"/>
    <w:uiPriority w:val="99"/>
    <w:unhideWhenUsed/>
    <w:rsid w:val="006E2714"/>
    <w:pPr>
      <w:widowControl/>
      <w:spacing w:before="100" w:beforeAutospacing="1" w:after="100" w:afterAutospacing="1" w:line="240" w:lineRule="auto"/>
      <w:ind w:firstLine="0"/>
    </w:pPr>
  </w:style>
  <w:style w:type="character" w:customStyle="1" w:styleId="normaltextrun">
    <w:name w:val="normaltextrun"/>
    <w:basedOn w:val="DefaultParagraphFont"/>
    <w:rsid w:val="009A429F"/>
  </w:style>
  <w:style w:type="character" w:customStyle="1" w:styleId="eop">
    <w:name w:val="eop"/>
    <w:basedOn w:val="DefaultParagraphFont"/>
    <w:rsid w:val="009A429F"/>
  </w:style>
  <w:style w:type="character" w:styleId="Emphasis">
    <w:name w:val="Emphasis"/>
    <w:uiPriority w:val="20"/>
    <w:qFormat/>
    <w:rsid w:val="00F9700B"/>
    <w:rPr>
      <w:i/>
      <w:iCs/>
    </w:rPr>
  </w:style>
  <w:style w:type="paragraph" w:styleId="ListBullet">
    <w:name w:val="List Bullet"/>
    <w:basedOn w:val="Normal"/>
    <w:uiPriority w:val="99"/>
    <w:unhideWhenUsed/>
    <w:rsid w:val="00812CA1"/>
    <w:pPr>
      <w:widowControl/>
      <w:numPr>
        <w:numId w:val="1"/>
      </w:numPr>
      <w:spacing w:after="160" w:line="259" w:lineRule="auto"/>
      <w:contextualSpacing/>
    </w:pPr>
    <w:rPr>
      <w:rFonts w:asciiTheme="minorHAnsi" w:eastAsiaTheme="minorHAnsi" w:hAnsiTheme="minorHAnsi" w:cstheme="minorBidi"/>
      <w:sz w:val="22"/>
      <w:szCs w:val="22"/>
      <w:lang w:val="en-I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403272">
      <w:bodyDiv w:val="1"/>
      <w:marLeft w:val="0"/>
      <w:marRight w:val="0"/>
      <w:marTop w:val="0"/>
      <w:marBottom w:val="0"/>
      <w:divBdr>
        <w:top w:val="none" w:sz="0" w:space="0" w:color="auto"/>
        <w:left w:val="none" w:sz="0" w:space="0" w:color="auto"/>
        <w:bottom w:val="none" w:sz="0" w:space="0" w:color="auto"/>
        <w:right w:val="none" w:sz="0" w:space="0" w:color="auto"/>
      </w:divBdr>
    </w:div>
    <w:div w:id="7638890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dsjournal.org" TargetMode="External"/><Relationship Id="rId18" Type="http://schemas.openxmlformats.org/officeDocument/2006/relationships/header" Target="header3.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creativecommons.org/licenses/by/4.0/" TargetMode="External"/><Relationship Id="rId12" Type="http://schemas.openxmlformats.org/officeDocument/2006/relationships/hyperlink" Target="https://rdsjournal.org" TargetMode="External"/><Relationship Id="rId17" Type="http://schemas.openxmlformats.org/officeDocument/2006/relationships/footer" Target="footer2.xml"/><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creativecommons.org/licenses/by/4.0/"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creativecommons.org/licenses/by/4.0/"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rdsjournal.org/index.php/journal/article/view/1028%20is" TargetMode="Externa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641</Words>
  <Characters>3833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4457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RDS</dc:creator>
  <cp:keywords/>
  <dc:description/>
  <cp:lastModifiedBy>RDS</cp:lastModifiedBy>
  <cp:revision>3</cp:revision>
  <cp:lastPrinted>2021-01-05T04:54:00Z</cp:lastPrinted>
  <dcterms:created xsi:type="dcterms:W3CDTF">2021-01-05T04:54:00Z</dcterms:created>
  <dcterms:modified xsi:type="dcterms:W3CDTF">2021-01-05T04:55:00Z</dcterms:modified>
  <cp:category/>
</cp:coreProperties>
</file>