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A48118" w14:textId="472FBBA5" w:rsidR="002526CC" w:rsidRDefault="002526CC" w:rsidP="002526CC">
      <w:pPr>
        <w:spacing w:line="480" w:lineRule="auto"/>
        <w:ind w:firstLine="0"/>
        <w:jc w:val="center"/>
        <w:rPr>
          <w:rFonts w:ascii="Arial" w:eastAsia="Arial" w:hAnsi="Arial" w:cs="Arial"/>
          <w:b/>
        </w:rPr>
      </w:pPr>
    </w:p>
    <w:p w14:paraId="5CB3F8E2" w14:textId="77777777" w:rsidR="0062528A" w:rsidRPr="0062528A" w:rsidRDefault="0062528A" w:rsidP="0062528A">
      <w:pPr>
        <w:spacing w:line="480" w:lineRule="auto"/>
        <w:jc w:val="center"/>
        <w:rPr>
          <w:rFonts w:ascii="Arial" w:hAnsi="Arial" w:cs="Arial"/>
        </w:rPr>
      </w:pPr>
    </w:p>
    <w:p w14:paraId="1E900A7C" w14:textId="36FACB63" w:rsidR="0062528A" w:rsidRPr="0062528A" w:rsidRDefault="0062528A" w:rsidP="0062528A">
      <w:pPr>
        <w:spacing w:line="480" w:lineRule="auto"/>
        <w:jc w:val="center"/>
        <w:rPr>
          <w:rFonts w:ascii="Arial" w:hAnsi="Arial" w:cs="Arial"/>
          <w:b/>
        </w:rPr>
      </w:pPr>
      <w:r w:rsidRPr="0062528A">
        <w:rPr>
          <w:rFonts w:ascii="Arial" w:hAnsi="Arial" w:cs="Arial"/>
          <w:b/>
        </w:rPr>
        <w:t xml:space="preserve">An Interdisciplinary Approach to Increasing Access to Care for Individuals with Fetal Alcohol Spectrum Disorders </w:t>
      </w:r>
    </w:p>
    <w:p w14:paraId="16EF050D" w14:textId="1DF0464D" w:rsidR="0062528A" w:rsidRDefault="0062528A" w:rsidP="0062528A">
      <w:pPr>
        <w:spacing w:line="480" w:lineRule="auto"/>
        <w:jc w:val="center"/>
      </w:pPr>
      <w:r w:rsidRPr="0042365F">
        <w:t>Elizabeth Cleveland, PhD, CCC-SLP</w:t>
      </w:r>
      <w:r>
        <w:t xml:space="preserve"> </w:t>
      </w:r>
      <w:r w:rsidRPr="0062528A">
        <w:rPr>
          <w:vertAlign w:val="superscript"/>
        </w:rPr>
        <w:t>1</w:t>
      </w:r>
    </w:p>
    <w:p w14:paraId="6AA17A91" w14:textId="230F5302" w:rsidR="0062528A" w:rsidRPr="0042365F" w:rsidRDefault="0062528A" w:rsidP="0062528A">
      <w:pPr>
        <w:spacing w:line="480" w:lineRule="auto"/>
        <w:jc w:val="center"/>
      </w:pPr>
      <w:r w:rsidRPr="0042365F">
        <w:t xml:space="preserve">Tiffany </w:t>
      </w:r>
      <w:proofErr w:type="spellStart"/>
      <w:r w:rsidRPr="0042365F">
        <w:t>Lepard-Tassin</w:t>
      </w:r>
      <w:proofErr w:type="spellEnd"/>
      <w:r w:rsidRPr="0042365F">
        <w:t>, MS, CGC</w:t>
      </w:r>
      <w:r>
        <w:t xml:space="preserve"> </w:t>
      </w:r>
      <w:r>
        <w:rPr>
          <w:vertAlign w:val="superscript"/>
        </w:rPr>
        <w:t>2</w:t>
      </w:r>
    </w:p>
    <w:p w14:paraId="4FE80B61" w14:textId="1F6949E5" w:rsidR="0062528A" w:rsidRPr="0042365F" w:rsidRDefault="0062528A" w:rsidP="0062528A">
      <w:pPr>
        <w:spacing w:line="480" w:lineRule="auto"/>
        <w:jc w:val="center"/>
      </w:pPr>
      <w:proofErr w:type="spellStart"/>
      <w:r w:rsidRPr="0042365F">
        <w:t>Albrey</w:t>
      </w:r>
      <w:proofErr w:type="spellEnd"/>
      <w:r w:rsidRPr="0042365F">
        <w:t xml:space="preserve"> Love, APRN</w:t>
      </w:r>
      <w:r>
        <w:t xml:space="preserve"> </w:t>
      </w:r>
      <w:r>
        <w:rPr>
          <w:vertAlign w:val="superscript"/>
        </w:rPr>
        <w:t>2</w:t>
      </w:r>
    </w:p>
    <w:p w14:paraId="14096800" w14:textId="2F6BB87D" w:rsidR="0062528A" w:rsidRPr="0042365F" w:rsidRDefault="0062528A" w:rsidP="0062528A">
      <w:pPr>
        <w:spacing w:line="480" w:lineRule="auto"/>
        <w:jc w:val="center"/>
      </w:pPr>
      <w:r w:rsidRPr="0042365F">
        <w:t>Andrew Cope, MHA</w:t>
      </w:r>
      <w:r>
        <w:t xml:space="preserve"> </w:t>
      </w:r>
    </w:p>
    <w:p w14:paraId="47E780B8" w14:textId="52915E7D" w:rsidR="0062528A" w:rsidRPr="0042365F" w:rsidRDefault="0062528A" w:rsidP="0062528A">
      <w:pPr>
        <w:spacing w:line="480" w:lineRule="auto"/>
        <w:jc w:val="center"/>
      </w:pPr>
      <w:r w:rsidRPr="0042365F">
        <w:t>David Deere, MSW, LCSW</w:t>
      </w:r>
      <w:r>
        <w:t xml:space="preserve"> </w:t>
      </w:r>
    </w:p>
    <w:p w14:paraId="5A048602" w14:textId="508F55B2" w:rsidR="0062528A" w:rsidRPr="0042365F" w:rsidRDefault="0062528A" w:rsidP="005B3474">
      <w:pPr>
        <w:spacing w:line="480" w:lineRule="auto"/>
        <w:jc w:val="center"/>
      </w:pPr>
      <w:r w:rsidRPr="0042365F">
        <w:t xml:space="preserve">Jessica </w:t>
      </w:r>
      <w:proofErr w:type="spellStart"/>
      <w:r w:rsidRPr="0042365F">
        <w:t>Gangluff</w:t>
      </w:r>
      <w:proofErr w:type="spellEnd"/>
      <w:r w:rsidRPr="0042365F">
        <w:t>, BS</w:t>
      </w:r>
      <w:r>
        <w:t xml:space="preserve"> </w:t>
      </w:r>
      <w:r w:rsidRPr="0062528A">
        <w:rPr>
          <w:vertAlign w:val="superscript"/>
        </w:rPr>
        <w:t>1</w:t>
      </w:r>
    </w:p>
    <w:p w14:paraId="7A95E32C" w14:textId="342DBE4E" w:rsidR="0062528A" w:rsidRDefault="005B3474" w:rsidP="005B3474">
      <w:pPr>
        <w:spacing w:line="480" w:lineRule="auto"/>
        <w:jc w:val="center"/>
      </w:pPr>
      <w:r w:rsidRPr="005B3474">
        <w:rPr>
          <w:vertAlign w:val="superscript"/>
        </w:rPr>
        <w:t>1</w:t>
      </w:r>
      <w:r>
        <w:t xml:space="preserve"> </w:t>
      </w:r>
      <w:r w:rsidR="0062528A">
        <w:t>University of Central Arkansas, Conway, AR</w:t>
      </w:r>
    </w:p>
    <w:p w14:paraId="2039287A" w14:textId="7A880E08" w:rsidR="0062528A" w:rsidRPr="0042365F" w:rsidRDefault="005B3474" w:rsidP="005B3474">
      <w:pPr>
        <w:spacing w:line="480" w:lineRule="auto"/>
        <w:jc w:val="center"/>
      </w:pPr>
      <w:r w:rsidRPr="005B3474">
        <w:rPr>
          <w:vertAlign w:val="superscript"/>
        </w:rPr>
        <w:t>2</w:t>
      </w:r>
      <w:r>
        <w:t xml:space="preserve"> </w:t>
      </w:r>
      <w:r w:rsidR="0062528A">
        <w:t>University of Arkansas for Medical Sciences, Little Rock, AR</w:t>
      </w:r>
    </w:p>
    <w:p w14:paraId="4BD2A1D8" w14:textId="77777777" w:rsidR="0062528A" w:rsidRDefault="0062528A" w:rsidP="0062528A">
      <w:pPr>
        <w:rPr>
          <w:b/>
        </w:rPr>
      </w:pPr>
      <w:r>
        <w:rPr>
          <w:b/>
        </w:rPr>
        <w:br w:type="page"/>
      </w:r>
    </w:p>
    <w:p w14:paraId="6A97A6EB" w14:textId="77777777" w:rsidR="0062528A" w:rsidRPr="000369B2" w:rsidRDefault="0062528A" w:rsidP="0062528A">
      <w:pPr>
        <w:spacing w:line="480" w:lineRule="auto"/>
        <w:jc w:val="center"/>
        <w:rPr>
          <w:b/>
        </w:rPr>
      </w:pPr>
      <w:r w:rsidRPr="000369B2">
        <w:rPr>
          <w:b/>
        </w:rPr>
        <w:lastRenderedPageBreak/>
        <w:t>Abstract</w:t>
      </w:r>
    </w:p>
    <w:p w14:paraId="72F4A51A" w14:textId="365F3FE5" w:rsidR="0062528A" w:rsidRPr="0042365F" w:rsidRDefault="0062528A" w:rsidP="00202F59">
      <w:pPr>
        <w:spacing w:line="480" w:lineRule="auto"/>
        <w:ind w:firstLine="0"/>
      </w:pPr>
      <w:r w:rsidRPr="0042365F">
        <w:t xml:space="preserve">Fetal alcohol spectrum disorders </w:t>
      </w:r>
      <w:r>
        <w:t xml:space="preserve">(FASD) </w:t>
      </w:r>
      <w:r w:rsidRPr="0042365F">
        <w:t>have a prevalence of roughly 1 in 20, making it one of the most prevalent disorders in the United States (</w:t>
      </w:r>
      <w:r>
        <w:t>May et al., 2018</w:t>
      </w:r>
      <w:r w:rsidRPr="0042365F">
        <w:t>). However, FASD has a diagnostic rate of less than 1%, resulting in late diagnosis, identification, and intervention (</w:t>
      </w:r>
      <w:r>
        <w:t xml:space="preserve">May, </w:t>
      </w:r>
      <w:proofErr w:type="spellStart"/>
      <w:r>
        <w:t>Baete</w:t>
      </w:r>
      <w:proofErr w:type="spellEnd"/>
      <w:r>
        <w:t>, &amp; Russo, 2014</w:t>
      </w:r>
      <w:r w:rsidRPr="000369B2">
        <w:t xml:space="preserve">; May, Chambers, </w:t>
      </w:r>
      <w:proofErr w:type="spellStart"/>
      <w:r w:rsidRPr="000369B2">
        <w:t>Kalberg</w:t>
      </w:r>
      <w:proofErr w:type="spellEnd"/>
      <w:r w:rsidRPr="000369B2">
        <w:t xml:space="preserve">, et al, 2018; Cleveland, Deere, </w:t>
      </w:r>
      <w:proofErr w:type="spellStart"/>
      <w:r w:rsidRPr="000369B2">
        <w:t>Kyzer</w:t>
      </w:r>
      <w:proofErr w:type="spellEnd"/>
      <w:r w:rsidRPr="000369B2">
        <w:t xml:space="preserve">, &amp; Smith, 2020). Only a handful of physicians regularly diagnose FASDs, </w:t>
      </w:r>
      <w:r w:rsidR="00202F59" w:rsidRPr="000369B2">
        <w:t>even</w:t>
      </w:r>
      <w:r w:rsidR="00202F59" w:rsidRPr="000369B2">
        <w:t xml:space="preserve"> </w:t>
      </w:r>
      <w:r w:rsidR="00202F59" w:rsidRPr="000369B2">
        <w:t>further</w:t>
      </w:r>
      <w:r w:rsidR="00202F59" w:rsidRPr="000369B2">
        <w:t xml:space="preserve"> </w:t>
      </w:r>
      <w:r w:rsidRPr="000369B2">
        <w:t xml:space="preserve">decreasing access to care (Manning &amp; </w:t>
      </w:r>
      <w:proofErr w:type="spellStart"/>
      <w:r w:rsidRPr="000369B2">
        <w:t>Hoyme</w:t>
      </w:r>
      <w:proofErr w:type="spellEnd"/>
      <w:r w:rsidRPr="000369B2">
        <w:t>, 2007).</w:t>
      </w:r>
      <w:r w:rsidRPr="0042365F">
        <w:t xml:space="preserve"> In response</w:t>
      </w:r>
      <w:r w:rsidR="00717A41">
        <w:t xml:space="preserve">, </w:t>
      </w:r>
      <w:r w:rsidRPr="0042365F">
        <w:t xml:space="preserve">the Specialty Diagnostic Resource Center (SDRC) in Arkansas developed </w:t>
      </w:r>
      <w:r w:rsidR="00717A41">
        <w:t>the following</w:t>
      </w:r>
      <w:r w:rsidRPr="0042365F">
        <w:t xml:space="preserve"> </w:t>
      </w:r>
      <w:r>
        <w:t>interdisciplinary</w:t>
      </w:r>
      <w:r w:rsidRPr="0042365F">
        <w:t xml:space="preserve"> approach to FASD diagnosis. Seventy-seven individuals ages four months to 37 years were evaluated </w:t>
      </w:r>
      <w:r>
        <w:t xml:space="preserve">for </w:t>
      </w:r>
      <w:r w:rsidRPr="0042365F">
        <w:t>Other Specified Neurodevelopmental Disability: Neurodevelopmental Disability Associated with Prenatal Alcohol Exposure (ND-PAE)</w:t>
      </w:r>
      <w:r>
        <w:t xml:space="preserve"> </w:t>
      </w:r>
      <w:r w:rsidRPr="0042365F">
        <w:t>between April 2020 and February 2022</w:t>
      </w:r>
      <w:r w:rsidR="00202F59">
        <w:t xml:space="preserve">; 54 </w:t>
      </w:r>
      <w:r w:rsidRPr="0042365F">
        <w:t xml:space="preserve">individuals </w:t>
      </w:r>
      <w:r w:rsidR="00202F59">
        <w:t xml:space="preserve">were </w:t>
      </w:r>
      <w:r w:rsidR="00064805">
        <w:t xml:space="preserve">diagnosed. </w:t>
      </w:r>
      <w:r w:rsidR="00202F59">
        <w:t>T</w:t>
      </w:r>
      <w:r w:rsidRPr="0042365F">
        <w:t>rends were identified for individuals given a ND-PAE diagnosis</w:t>
      </w:r>
      <w:r w:rsidR="00064805">
        <w:t xml:space="preserve"> and analyzed</w:t>
      </w:r>
      <w:r w:rsidR="00202F59">
        <w:t xml:space="preserve">, with </w:t>
      </w:r>
      <w:r w:rsidRPr="0042365F">
        <w:t>Spearman-</w:t>
      </w:r>
      <w:r w:rsidR="00E95A88">
        <w:t>r</w:t>
      </w:r>
      <w:r w:rsidRPr="0042365F">
        <w:t>ho analysis conducted</w:t>
      </w:r>
      <w:r w:rsidR="00064805">
        <w:t xml:space="preserve">. As FASDs are widely underdiagnosed, </w:t>
      </w:r>
      <w:r w:rsidR="00202F59">
        <w:t xml:space="preserve">an </w:t>
      </w:r>
      <w:r w:rsidR="00064805">
        <w:t xml:space="preserve">approach </w:t>
      </w:r>
      <w:proofErr w:type="gramStart"/>
      <w:r w:rsidR="00064805">
        <w:t>similar to</w:t>
      </w:r>
      <w:proofErr w:type="gramEnd"/>
      <w:r w:rsidR="00064805">
        <w:t xml:space="preserve"> SDRC may assist other </w:t>
      </w:r>
      <w:r w:rsidR="00064805" w:rsidRPr="0042365F">
        <w:t>interdisciplinary teams</w:t>
      </w:r>
      <w:r w:rsidR="00064805">
        <w:t xml:space="preserve"> in efforts to increase access both to diagnosis and intervention.</w:t>
      </w:r>
    </w:p>
    <w:p w14:paraId="2E6ECF75" w14:textId="2B020493" w:rsidR="0062528A" w:rsidRPr="0042365F" w:rsidRDefault="0062528A" w:rsidP="0062528A">
      <w:pPr>
        <w:spacing w:line="480" w:lineRule="auto"/>
      </w:pPr>
      <w:r w:rsidRPr="00873D9C">
        <w:rPr>
          <w:i/>
        </w:rPr>
        <w:t>Keywords</w:t>
      </w:r>
      <w:r w:rsidRPr="0042365F">
        <w:t>: fetal alcohol spectrum disorders, FASD, interdisciplinary care, access to care</w:t>
      </w:r>
    </w:p>
    <w:p w14:paraId="2183454B" w14:textId="77777777" w:rsidR="00202F59" w:rsidRDefault="00202F59" w:rsidP="0062528A">
      <w:pPr>
        <w:spacing w:line="480" w:lineRule="auto"/>
        <w:jc w:val="center"/>
        <w:rPr>
          <w:b/>
          <w:bCs/>
        </w:rPr>
      </w:pPr>
    </w:p>
    <w:p w14:paraId="0CF19734" w14:textId="77777777" w:rsidR="00A2427F" w:rsidRDefault="00A2427F" w:rsidP="0062528A">
      <w:pPr>
        <w:spacing w:line="480" w:lineRule="auto"/>
        <w:jc w:val="center"/>
        <w:rPr>
          <w:b/>
          <w:bCs/>
        </w:rPr>
      </w:pPr>
    </w:p>
    <w:p w14:paraId="2E7ED963" w14:textId="77777777" w:rsidR="00A2427F" w:rsidRDefault="00A2427F" w:rsidP="0062528A">
      <w:pPr>
        <w:spacing w:line="480" w:lineRule="auto"/>
        <w:jc w:val="center"/>
        <w:rPr>
          <w:b/>
          <w:bCs/>
        </w:rPr>
      </w:pPr>
    </w:p>
    <w:p w14:paraId="1C7241FF" w14:textId="77777777" w:rsidR="00A2427F" w:rsidRDefault="00A2427F" w:rsidP="0062528A">
      <w:pPr>
        <w:spacing w:line="480" w:lineRule="auto"/>
        <w:jc w:val="center"/>
        <w:rPr>
          <w:b/>
          <w:bCs/>
        </w:rPr>
      </w:pPr>
    </w:p>
    <w:p w14:paraId="3CC15565" w14:textId="77777777" w:rsidR="00A2427F" w:rsidRDefault="00A2427F" w:rsidP="0062528A">
      <w:pPr>
        <w:spacing w:line="480" w:lineRule="auto"/>
        <w:jc w:val="center"/>
        <w:rPr>
          <w:b/>
          <w:bCs/>
        </w:rPr>
      </w:pPr>
    </w:p>
    <w:p w14:paraId="71E5CAC2" w14:textId="53BEC3B3" w:rsidR="00A2427F" w:rsidRPr="00A2427F" w:rsidRDefault="00A2427F" w:rsidP="00A2427F">
      <w:pPr>
        <w:spacing w:line="480" w:lineRule="auto"/>
        <w:ind w:firstLine="0"/>
        <w:jc w:val="center"/>
        <w:rPr>
          <w:b/>
          <w:bCs/>
        </w:rPr>
      </w:pPr>
      <w:r w:rsidRPr="00A2427F">
        <w:rPr>
          <w:b/>
          <w:bCs/>
        </w:rPr>
        <w:lastRenderedPageBreak/>
        <w:t>An Interdisciplinary Approach to Increasing Access to Care for Individuals with Fetal Alcohol Spectrum Disorders</w:t>
      </w:r>
    </w:p>
    <w:p w14:paraId="28C8CD94" w14:textId="3645FFD0" w:rsidR="0062528A" w:rsidRPr="0042365F" w:rsidRDefault="0062528A" w:rsidP="0062528A">
      <w:pPr>
        <w:spacing w:line="480" w:lineRule="auto"/>
      </w:pPr>
      <w:r w:rsidRPr="0042365F">
        <w:t>Fetal alcohol spectrum disorders (FASD) is an umbrella term that encompasses a variety of disorders caused by prenatal alcohol exposure (</w:t>
      </w:r>
      <w:proofErr w:type="spellStart"/>
      <w:r w:rsidRPr="0042365F">
        <w:t>Vaurio</w:t>
      </w:r>
      <w:proofErr w:type="spellEnd"/>
      <w:r w:rsidRPr="0042365F">
        <w:t xml:space="preserve">, Riley, &amp; Mattson, 2008; Astley, Aylward, Olson, Kerns, Brooks, Coggins, … &amp; </w:t>
      </w:r>
      <w:proofErr w:type="spellStart"/>
      <w:r w:rsidRPr="0042365F">
        <w:t>Kraegel</w:t>
      </w:r>
      <w:proofErr w:type="spellEnd"/>
      <w:r w:rsidRPr="0042365F">
        <w:t xml:space="preserve">, 2009; Riley, Infante, &amp; Warren, 2011; </w:t>
      </w:r>
      <w:proofErr w:type="spellStart"/>
      <w:r w:rsidRPr="0042365F">
        <w:t>Paolozza</w:t>
      </w:r>
      <w:proofErr w:type="spellEnd"/>
      <w:r w:rsidRPr="0042365F">
        <w:t xml:space="preserve">, Rasmussen, Hanlon-Dearman, </w:t>
      </w:r>
      <w:proofErr w:type="spellStart"/>
      <w:r w:rsidRPr="0042365F">
        <w:t>Nikkel</w:t>
      </w:r>
      <w:proofErr w:type="spellEnd"/>
      <w:r w:rsidRPr="0042365F">
        <w:t xml:space="preserve">, Andrew, McFarlane, … &amp; Reynolds, 2014; </w:t>
      </w:r>
      <w:proofErr w:type="spellStart"/>
      <w:r>
        <w:t>Hoyme</w:t>
      </w:r>
      <w:proofErr w:type="spellEnd"/>
      <w:r>
        <w:t xml:space="preserve">, </w:t>
      </w:r>
      <w:proofErr w:type="spellStart"/>
      <w:r>
        <w:t>Kalberg</w:t>
      </w:r>
      <w:proofErr w:type="spellEnd"/>
      <w:r>
        <w:t xml:space="preserve">, …&amp; </w:t>
      </w:r>
      <w:proofErr w:type="gramStart"/>
      <w:r>
        <w:t>May,</w:t>
      </w:r>
      <w:proofErr w:type="gramEnd"/>
      <w:r>
        <w:t xml:space="preserve"> 2016; </w:t>
      </w:r>
      <w:r w:rsidRPr="0042365F">
        <w:t xml:space="preserve">Thorne &amp; Coggins, 2016; </w:t>
      </w:r>
      <w:proofErr w:type="spellStart"/>
      <w:r w:rsidRPr="0042365F">
        <w:t>Terband</w:t>
      </w:r>
      <w:proofErr w:type="spellEnd"/>
      <w:r w:rsidRPr="0042365F">
        <w:t xml:space="preserve">, Spruit, &amp; </w:t>
      </w:r>
      <w:proofErr w:type="spellStart"/>
      <w:r w:rsidRPr="0042365F">
        <w:t>Maassen</w:t>
      </w:r>
      <w:proofErr w:type="spellEnd"/>
      <w:r w:rsidRPr="0042365F">
        <w:t>, 2018). Diagnoses that fall under the FASD umbrella</w:t>
      </w:r>
      <w:r>
        <w:t xml:space="preserve"> include</w:t>
      </w:r>
      <w:r w:rsidR="002130E2">
        <w:t xml:space="preserve">: </w:t>
      </w:r>
      <w:r w:rsidR="00FA7776">
        <w:t>(</w:t>
      </w:r>
      <w:r w:rsidR="002130E2">
        <w:t>a</w:t>
      </w:r>
      <w:r w:rsidR="00FA7776">
        <w:t xml:space="preserve">) </w:t>
      </w:r>
      <w:r w:rsidRPr="0042365F">
        <w:t>Fetal Alcohol Syndrome (FAS)</w:t>
      </w:r>
      <w:r w:rsidR="00FA7776">
        <w:t xml:space="preserve">; (2) </w:t>
      </w:r>
      <w:r w:rsidRPr="0042365F">
        <w:t>Partial Fetal Alcohol Syndrome (</w:t>
      </w:r>
      <w:proofErr w:type="spellStart"/>
      <w:r w:rsidRPr="0042365F">
        <w:t>pFAS</w:t>
      </w:r>
      <w:proofErr w:type="spellEnd"/>
      <w:r w:rsidRPr="0042365F">
        <w:t>)</w:t>
      </w:r>
      <w:r w:rsidR="00FA7776">
        <w:t xml:space="preserve">; (3) </w:t>
      </w:r>
      <w:r w:rsidRPr="0042365F">
        <w:t>Alcohol Related Birth Defects (ARBD)</w:t>
      </w:r>
      <w:r w:rsidR="00FA7776">
        <w:t xml:space="preserve">; (4) </w:t>
      </w:r>
      <w:r w:rsidRPr="0042365F">
        <w:t>Alcohol Related Neurodevelopmental Disorder (ARND)</w:t>
      </w:r>
      <w:r w:rsidR="00FA7776">
        <w:t xml:space="preserve">; (5) </w:t>
      </w:r>
      <w:r w:rsidRPr="0042365F">
        <w:t>Prenatal Alcohol Effects (PAE)</w:t>
      </w:r>
      <w:r w:rsidR="00FA7776">
        <w:t xml:space="preserve">; (6) </w:t>
      </w:r>
      <w:r w:rsidRPr="0042365F">
        <w:t>Fetal Alcohol Effects (FAE)</w:t>
      </w:r>
      <w:r w:rsidR="00FA7776">
        <w:t xml:space="preserve">; (7) </w:t>
      </w:r>
      <w:r w:rsidRPr="0042365F">
        <w:t>Neurodevelopmental Disorder Associated with Prenatal Alcohol Exposure (ND-PAE</w:t>
      </w:r>
      <w:r w:rsidR="00FA7776">
        <w:t>; (8) and</w:t>
      </w:r>
      <w:r w:rsidRPr="0042365F">
        <w:t xml:space="preserve"> many others</w:t>
      </w:r>
      <w:r>
        <w:t xml:space="preserve"> (</w:t>
      </w:r>
      <w:proofErr w:type="spellStart"/>
      <w:r>
        <w:t>Hoyme</w:t>
      </w:r>
      <w:proofErr w:type="spellEnd"/>
      <w:r>
        <w:t xml:space="preserve"> et al., 2016; Kable &amp; Mukherjee, 2017)</w:t>
      </w:r>
      <w:r w:rsidRPr="0042365F">
        <w:t>. May and colleagues (2018) identified a prevalence of 1 in 20 first graders in the US. Although this category of disorders is almost twice as prevalent as autism spectrum disorder (</w:t>
      </w:r>
      <w:r w:rsidRPr="007859B0">
        <w:t>APA, 2013</w:t>
      </w:r>
      <w:r w:rsidRPr="0042365F">
        <w:t xml:space="preserve">), less than 1% of children that meet criteria for FASD are </w:t>
      </w:r>
      <w:proofErr w:type="gramStart"/>
      <w:r w:rsidRPr="0042365F">
        <w:t>actually given</w:t>
      </w:r>
      <w:proofErr w:type="gramEnd"/>
      <w:r w:rsidRPr="0042365F">
        <w:t xml:space="preserve"> a diagnosis (May et al., 2018). Underdiagnosis to this extent often results in a misinterpretation of the common behaviors and characteristics associated with brain damage caused by prenatal alcohol exposure (Rasmussen, Benz, Pei, Andrew, Schuller, Abele-Webster, Alton et al., 2010; McLaughlin, Thorne, </w:t>
      </w:r>
      <w:proofErr w:type="spellStart"/>
      <w:r w:rsidRPr="0042365F">
        <w:t>Jirikowic</w:t>
      </w:r>
      <w:proofErr w:type="spellEnd"/>
      <w:r w:rsidRPr="0042365F">
        <w:t>, Waddington, Lee, &amp; Astley Hemingway, 2019</w:t>
      </w:r>
      <w:r>
        <w:t>; Cleveland et al., 2020</w:t>
      </w:r>
      <w:r w:rsidRPr="0042365F">
        <w:t>).</w:t>
      </w:r>
    </w:p>
    <w:p w14:paraId="3A83736B" w14:textId="4F1B1C65" w:rsidR="0062528A" w:rsidRPr="0042365F" w:rsidRDefault="0062528A" w:rsidP="0062528A">
      <w:pPr>
        <w:spacing w:line="480" w:lineRule="auto"/>
      </w:pPr>
      <w:r w:rsidRPr="0042365F">
        <w:t xml:space="preserve">The level of impairment for the FASD diagnoses vary depending on </w:t>
      </w:r>
      <w:r w:rsidR="00FA7776" w:rsidRPr="0042365F">
        <w:t>several</w:t>
      </w:r>
      <w:r w:rsidRPr="0042365F">
        <w:t xml:space="preserve"> factors, including amount of alcohol exposure, timing of exposure, and epigenetics (</w:t>
      </w:r>
      <w:r w:rsidRPr="007859B0">
        <w:t xml:space="preserve">Riley &amp; McGee, 2005; Moore, Ward, … &amp; </w:t>
      </w:r>
      <w:proofErr w:type="spellStart"/>
      <w:r w:rsidRPr="007859B0">
        <w:t>Foroud</w:t>
      </w:r>
      <w:proofErr w:type="spellEnd"/>
      <w:r w:rsidRPr="007859B0">
        <w:t>, 2007; Astley et al., 2009, Mattson, Crocker, &amp; Nguyen, 2011; Feldman, Jones, … &amp; Chambers, 2012</w:t>
      </w:r>
      <w:r w:rsidRPr="0042365F">
        <w:t xml:space="preserve">). Each disorder has some combination of </w:t>
      </w:r>
      <w:r w:rsidRPr="0042365F">
        <w:lastRenderedPageBreak/>
        <w:t>impairment in neurological structure, impairment in adaptive or educational functioning, cognition, and/or behavioral characteristics that have been impacted by prenatal alcohol exposure (</w:t>
      </w:r>
      <w:proofErr w:type="spellStart"/>
      <w:r w:rsidRPr="0042365F">
        <w:t>Vaurio</w:t>
      </w:r>
      <w:proofErr w:type="spellEnd"/>
      <w:r w:rsidRPr="0042365F">
        <w:t xml:space="preserve"> et al., 2008; Astley et al., 2009; Riley et al., 2011; </w:t>
      </w:r>
      <w:proofErr w:type="spellStart"/>
      <w:r w:rsidRPr="0042365F">
        <w:t>Paolozza</w:t>
      </w:r>
      <w:proofErr w:type="spellEnd"/>
      <w:r w:rsidRPr="0042365F">
        <w:t xml:space="preserve"> et al., 2014; Thorne &amp; Coggins, 2016; </w:t>
      </w:r>
      <w:proofErr w:type="spellStart"/>
      <w:r w:rsidRPr="0042365F">
        <w:t>Terband</w:t>
      </w:r>
      <w:proofErr w:type="spellEnd"/>
      <w:r w:rsidRPr="0042365F">
        <w:t>, et al., 2018).</w:t>
      </w:r>
      <w:r w:rsidR="00FA7776">
        <w:t xml:space="preserve"> </w:t>
      </w:r>
      <w:r w:rsidRPr="0042365F">
        <w:t xml:space="preserve">Although there is a spectrum of severity of symptoms associated with each FASD diagnosis, there are also some common behavioral and structural characteristics that have been identified in all FASD diagnoses (Astley et al., 2009; Cook, Green, Lilley, Anderson, Baldwin, </w:t>
      </w:r>
      <w:proofErr w:type="spellStart"/>
      <w:r w:rsidRPr="0042365F">
        <w:t>Chudley</w:t>
      </w:r>
      <w:proofErr w:type="spellEnd"/>
      <w:r w:rsidRPr="0042365F">
        <w:t xml:space="preserve">, … &amp; Mallon, 2016). Functional magnetic resonance imaging (fMRIs) indicates that, although damage from prenatal alcohol exposure can happen anywhere in the brain, it is commonly seen in the corpus callosum and in the frontal lobe (Astley et al., 2009; </w:t>
      </w:r>
      <w:proofErr w:type="spellStart"/>
      <w:r w:rsidRPr="0042365F">
        <w:t>Paolozza</w:t>
      </w:r>
      <w:proofErr w:type="spellEnd"/>
      <w:r w:rsidRPr="0042365F">
        <w:t xml:space="preserve"> et al</w:t>
      </w:r>
      <w:r w:rsidR="00FA7776">
        <w:t>.</w:t>
      </w:r>
      <w:r w:rsidRPr="0042365F">
        <w:t>, 2014). Damage to these areas can cause decreased cognitive and executive functioning skills, like problem solving, organizing, understanding cause and effect, and ability to attend (</w:t>
      </w:r>
      <w:proofErr w:type="spellStart"/>
      <w:r w:rsidRPr="0042365F">
        <w:t>Paolozza</w:t>
      </w:r>
      <w:proofErr w:type="spellEnd"/>
      <w:r w:rsidRPr="0042365F">
        <w:t xml:space="preserve"> et al., 2014; </w:t>
      </w:r>
      <w:proofErr w:type="spellStart"/>
      <w:r>
        <w:t>Petrenko</w:t>
      </w:r>
      <w:proofErr w:type="spellEnd"/>
      <w:r>
        <w:t xml:space="preserve"> &amp; Alto, 2014;</w:t>
      </w:r>
      <w:r w:rsidRPr="0042365F">
        <w:t xml:space="preserve"> Thorne, 2017). The absence or dysfunction of these skills may impact many areas of a person’s life, including their ability to adapt to and function in the environment, which can then lead to behavioral characteristics such as inappropriate outbursts, impulsivity, and irregular social interactions (Fahy, 2014; Popova, Lange, </w:t>
      </w:r>
      <w:proofErr w:type="spellStart"/>
      <w:r w:rsidRPr="0042365F">
        <w:t>Burd</w:t>
      </w:r>
      <w:proofErr w:type="spellEnd"/>
      <w:r w:rsidRPr="0042365F">
        <w:t>, &amp; Rehm, 2014).</w:t>
      </w:r>
    </w:p>
    <w:p w14:paraId="5FEFA2BD" w14:textId="24F8A961" w:rsidR="0062528A" w:rsidRPr="0042365F" w:rsidRDefault="0062528A" w:rsidP="0062528A">
      <w:pPr>
        <w:spacing w:line="480" w:lineRule="auto"/>
      </w:pPr>
      <w:r w:rsidRPr="0042365F">
        <w:t xml:space="preserve">Many individuals with FASD are misdiagnosed as having attention deficit/hyperactivity disorder (ADHD), autism spectrum disorder (ASD), oppositional defiant disorder (ODD), disruptive mood </w:t>
      </w:r>
      <w:proofErr w:type="spellStart"/>
      <w:r w:rsidRPr="0042365F">
        <w:t>dysregularion</w:t>
      </w:r>
      <w:proofErr w:type="spellEnd"/>
      <w:r w:rsidRPr="0042365F">
        <w:t xml:space="preserve"> disorder (DMDD) and many others (</w:t>
      </w:r>
      <w:proofErr w:type="spellStart"/>
      <w:r>
        <w:t>Malbin</w:t>
      </w:r>
      <w:proofErr w:type="spellEnd"/>
      <w:r>
        <w:t xml:space="preserve">, 2002; </w:t>
      </w:r>
      <w:r w:rsidRPr="0042365F">
        <w:t xml:space="preserve">Popova, Lange, </w:t>
      </w:r>
      <w:proofErr w:type="spellStart"/>
      <w:r w:rsidRPr="0042365F">
        <w:t>Bekmuradov</w:t>
      </w:r>
      <w:proofErr w:type="spellEnd"/>
      <w:r w:rsidRPr="0042365F">
        <w:t xml:space="preserve">, </w:t>
      </w:r>
      <w:proofErr w:type="spellStart"/>
      <w:r w:rsidRPr="0042365F">
        <w:t>Mihic</w:t>
      </w:r>
      <w:proofErr w:type="spellEnd"/>
      <w:r w:rsidRPr="0042365F">
        <w:t xml:space="preserve">, &amp; Rehm, 2011; Lange, Shield, Rehm, &amp; Popova, 2013; Popova, Lange, Shield, </w:t>
      </w:r>
      <w:proofErr w:type="spellStart"/>
      <w:r w:rsidRPr="0042365F">
        <w:t>Mihic</w:t>
      </w:r>
      <w:proofErr w:type="spellEnd"/>
      <w:r w:rsidRPr="0042365F">
        <w:t xml:space="preserve">, </w:t>
      </w:r>
      <w:proofErr w:type="spellStart"/>
      <w:r w:rsidRPr="0042365F">
        <w:t>Chudley</w:t>
      </w:r>
      <w:proofErr w:type="spellEnd"/>
      <w:r w:rsidRPr="0042365F">
        <w:t xml:space="preserve">, Mukherjee, </w:t>
      </w:r>
      <w:proofErr w:type="spellStart"/>
      <w:r w:rsidRPr="0042365F">
        <w:t>Bekmuradov</w:t>
      </w:r>
      <w:proofErr w:type="spellEnd"/>
      <w:r w:rsidRPr="0042365F">
        <w:t xml:space="preserve">, &amp; Rehm, 2016; Craig, </w:t>
      </w:r>
      <w:proofErr w:type="spellStart"/>
      <w:r w:rsidRPr="0042365F">
        <w:t>Margari</w:t>
      </w:r>
      <w:proofErr w:type="spellEnd"/>
      <w:r w:rsidRPr="0042365F">
        <w:t xml:space="preserve">, </w:t>
      </w:r>
      <w:proofErr w:type="spellStart"/>
      <w:r w:rsidRPr="0042365F">
        <w:t>Legrottaglie</w:t>
      </w:r>
      <w:proofErr w:type="spellEnd"/>
      <w:r w:rsidRPr="0042365F">
        <w:t xml:space="preserve">, </w:t>
      </w:r>
      <w:proofErr w:type="spellStart"/>
      <w:r w:rsidRPr="0042365F">
        <w:t>Giambattista</w:t>
      </w:r>
      <w:proofErr w:type="spellEnd"/>
      <w:r w:rsidRPr="0042365F">
        <w:t xml:space="preserve">, &amp; </w:t>
      </w:r>
      <w:proofErr w:type="spellStart"/>
      <w:r w:rsidRPr="0042365F">
        <w:t>Margari</w:t>
      </w:r>
      <w:proofErr w:type="spellEnd"/>
      <w:r w:rsidRPr="0042365F">
        <w:t xml:space="preserve">, 2016). Lack of FASD diagnosis has resulted in societal misunderstanding of these disorders and ultimately the lack of appropriate supports and interventions for people with FASD (Carmichael-Olson, </w:t>
      </w:r>
      <w:proofErr w:type="spellStart"/>
      <w:r w:rsidRPr="0042365F">
        <w:t>Ohlemiller</w:t>
      </w:r>
      <w:proofErr w:type="spellEnd"/>
      <w:r w:rsidRPr="0042365F">
        <w:t xml:space="preserve">, O’Connor, </w:t>
      </w:r>
      <w:r w:rsidRPr="0042365F">
        <w:lastRenderedPageBreak/>
        <w:t xml:space="preserve">Brown, Morris, &amp; </w:t>
      </w:r>
      <w:proofErr w:type="spellStart"/>
      <w:r w:rsidRPr="0042365F">
        <w:t>Damus</w:t>
      </w:r>
      <w:proofErr w:type="spellEnd"/>
      <w:r w:rsidRPr="0042365F">
        <w:t>, 2009).</w:t>
      </w:r>
      <w:r w:rsidRPr="00BA2376">
        <w:t xml:space="preserve"> </w:t>
      </w:r>
      <w:r w:rsidRPr="0042365F">
        <w:t>Without an official diagnosis of an FASD, it may be difficult to understand these children and their deficits, which in turn may create more complication for practitioners in attempting to provide the best level of care (Carmichael-Olson, et al.</w:t>
      </w:r>
      <w:r w:rsidR="00FA7776">
        <w:t xml:space="preserve">, </w:t>
      </w:r>
      <w:r w:rsidRPr="0042365F">
        <w:t>2009).</w:t>
      </w:r>
    </w:p>
    <w:p w14:paraId="074328D2" w14:textId="77777777" w:rsidR="0062528A" w:rsidRPr="0042365F" w:rsidRDefault="0062528A" w:rsidP="0062528A">
      <w:pPr>
        <w:spacing w:line="480" w:lineRule="auto"/>
        <w:rPr>
          <w:b/>
          <w:bCs/>
        </w:rPr>
      </w:pPr>
      <w:r w:rsidRPr="0042365F">
        <w:rPr>
          <w:b/>
          <w:bCs/>
        </w:rPr>
        <w:t>Access to FASD Diagnosis</w:t>
      </w:r>
    </w:p>
    <w:p w14:paraId="3681B2F1" w14:textId="77777777" w:rsidR="0062528A" w:rsidRPr="0042365F" w:rsidRDefault="0062528A" w:rsidP="0062528A">
      <w:pPr>
        <w:spacing w:line="480" w:lineRule="auto"/>
      </w:pPr>
      <w:r w:rsidRPr="0042365F">
        <w:t>Although the importance of getting an FASD diagnosis has been well documented (</w:t>
      </w:r>
      <w:proofErr w:type="spellStart"/>
      <w:r w:rsidRPr="0042365F">
        <w:t>Vaurio</w:t>
      </w:r>
      <w:proofErr w:type="spellEnd"/>
      <w:r>
        <w:t xml:space="preserve"> et al.,</w:t>
      </w:r>
      <w:r w:rsidRPr="0042365F">
        <w:t xml:space="preserve"> 2009; Riley, Infante, &amp; Warren, 2011; </w:t>
      </w:r>
      <w:proofErr w:type="spellStart"/>
      <w:r w:rsidRPr="0042365F">
        <w:t>Paolozza</w:t>
      </w:r>
      <w:proofErr w:type="spellEnd"/>
      <w:r w:rsidRPr="0042365F">
        <w:t xml:space="preserve"> </w:t>
      </w:r>
      <w:r>
        <w:t>et al.</w:t>
      </w:r>
      <w:r w:rsidRPr="0042365F">
        <w:t xml:space="preserve">, 2014; </w:t>
      </w:r>
      <w:proofErr w:type="spellStart"/>
      <w:r>
        <w:t>Hoyme</w:t>
      </w:r>
      <w:proofErr w:type="spellEnd"/>
      <w:r>
        <w:t xml:space="preserve"> et al., 2016; </w:t>
      </w:r>
      <w:r w:rsidRPr="0042365F">
        <w:t xml:space="preserve">Thorne &amp; Coggins, 2016; </w:t>
      </w:r>
      <w:proofErr w:type="spellStart"/>
      <w:r w:rsidRPr="0042365F">
        <w:t>Terband</w:t>
      </w:r>
      <w:proofErr w:type="spellEnd"/>
      <w:r w:rsidRPr="0042365F">
        <w:t xml:space="preserve">, Spruit, &amp; </w:t>
      </w:r>
      <w:proofErr w:type="spellStart"/>
      <w:r w:rsidRPr="0042365F">
        <w:t>Maassen</w:t>
      </w:r>
      <w:proofErr w:type="spellEnd"/>
      <w:r w:rsidRPr="0042365F">
        <w:t>, 2018</w:t>
      </w:r>
      <w:r>
        <w:t>; Cleveland, et al., 2020</w:t>
      </w:r>
      <w:r w:rsidRPr="0042365F">
        <w:t>), resources for diagnosis and intervention services continue to be minimal across the United States (</w:t>
      </w:r>
      <w:r>
        <w:t xml:space="preserve">Lange et al., 2013; </w:t>
      </w:r>
      <w:proofErr w:type="spellStart"/>
      <w:r>
        <w:t>Papov</w:t>
      </w:r>
      <w:proofErr w:type="spellEnd"/>
      <w:r>
        <w:t xml:space="preserve">, et al., 2016; </w:t>
      </w:r>
      <w:proofErr w:type="spellStart"/>
      <w:r>
        <w:t>Petrenko</w:t>
      </w:r>
      <w:proofErr w:type="spellEnd"/>
      <w:r>
        <w:t xml:space="preserve"> &amp; Alto, 2017; May et al., 2018; </w:t>
      </w:r>
      <w:r w:rsidRPr="007859B0">
        <w:t xml:space="preserve">Cleveland et al., 2020). Very few physicians specialize in developmental and behavioral pediatrics, much less specifically specializing in fetal alcohol spectrum disorder (Manning &amp; </w:t>
      </w:r>
      <w:proofErr w:type="spellStart"/>
      <w:r w:rsidRPr="007859B0">
        <w:t>Hoyme</w:t>
      </w:r>
      <w:proofErr w:type="spellEnd"/>
      <w:r w:rsidRPr="007859B0">
        <w:t>, 2007). Arkansas, like many other states, has very limited access to FASD diagnosis and care (Cleveland et al., 2020).</w:t>
      </w:r>
      <w:r w:rsidRPr="0042365F">
        <w:t xml:space="preserve"> The Specialty Diagnostic Resource Center (SDRC)</w:t>
      </w:r>
      <w:r>
        <w:t>, Arkansas’s only FASD-specific diagnostic clinic,</w:t>
      </w:r>
      <w:r w:rsidRPr="0042365F">
        <w:t xml:space="preserve"> has utilized an interdisciplinary approach to care for individuals suspected of FASD. By identifying trends in diagnosis and symptomology like those identified through SDRC, other interdisciplinary teams across the country may be able to increase access to care in their own states. </w:t>
      </w:r>
    </w:p>
    <w:p w14:paraId="28BA994D" w14:textId="77777777" w:rsidR="0062528A" w:rsidRPr="0042365F" w:rsidRDefault="0062528A" w:rsidP="0062528A">
      <w:pPr>
        <w:spacing w:line="480" w:lineRule="auto"/>
        <w:jc w:val="center"/>
        <w:rPr>
          <w:b/>
          <w:bCs/>
        </w:rPr>
      </w:pPr>
      <w:r w:rsidRPr="0042365F">
        <w:rPr>
          <w:b/>
          <w:bCs/>
        </w:rPr>
        <w:t>Method</w:t>
      </w:r>
    </w:p>
    <w:p w14:paraId="1997D8F8" w14:textId="7286B950" w:rsidR="0062528A" w:rsidRPr="0042365F" w:rsidRDefault="0062528A" w:rsidP="0062528A">
      <w:pPr>
        <w:spacing w:line="480" w:lineRule="auto"/>
      </w:pPr>
      <w:r w:rsidRPr="0042365F">
        <w:t xml:space="preserve">Analysis of the data collected through SDRC was conducted under IRB </w:t>
      </w:r>
      <w:r w:rsidRPr="00D32350">
        <w:t>#20-153</w:t>
      </w:r>
      <w:r>
        <w:t xml:space="preserve"> </w:t>
      </w:r>
      <w:r w:rsidRPr="0042365F">
        <w:t xml:space="preserve">at the University of Central Arkansas. An interdisciplinary team consisting of a speech-language pathologist, social worker, genetic counselor, and nurse practitioner was utilized for each SDRC evaluation. This team </w:t>
      </w:r>
      <w:r>
        <w:t xml:space="preserve">members </w:t>
      </w:r>
      <w:r w:rsidRPr="0042365F">
        <w:t xml:space="preserve">are also current or former faculty members of the </w:t>
      </w:r>
      <w:r w:rsidRPr="0042365F">
        <w:lastRenderedPageBreak/>
        <w:t xml:space="preserve">Arkansas Leadership Education in Neurodevelopmental Disabilities (AR LEND) grant-funded training program. Because the nature of the clinic is a training clinic, students from a variety of disciplines also participate in each evaluation.  </w:t>
      </w:r>
    </w:p>
    <w:p w14:paraId="716B6C32" w14:textId="77777777" w:rsidR="0062528A" w:rsidRPr="0042365F" w:rsidRDefault="0062528A" w:rsidP="0062528A">
      <w:pPr>
        <w:spacing w:line="480" w:lineRule="auto"/>
        <w:rPr>
          <w:b/>
          <w:bCs/>
        </w:rPr>
      </w:pPr>
      <w:r w:rsidRPr="0042365F">
        <w:rPr>
          <w:b/>
          <w:bCs/>
        </w:rPr>
        <w:t>Diagnostic Criteria for Other Specified Neurodevelopmental Disorders: ND-PAE</w:t>
      </w:r>
    </w:p>
    <w:p w14:paraId="4122ACA8" w14:textId="77777777" w:rsidR="0062528A" w:rsidRDefault="0062528A" w:rsidP="0062528A">
      <w:pPr>
        <w:spacing w:line="480" w:lineRule="auto"/>
      </w:pPr>
      <w:r w:rsidRPr="0042365F">
        <w:t xml:space="preserve">SDRC evaluated </w:t>
      </w:r>
      <w:r>
        <w:t>77 ind</w:t>
      </w:r>
      <w:r w:rsidRPr="0042365F">
        <w:t>ividuals between April 2020 and February 2022 using the criteria for Other Specified Neurodevelopmental Disability: Neurodevelopmental Disability Associated with Prenatal Alcohol Exposure</w:t>
      </w:r>
      <w:r>
        <w:t xml:space="preserve"> (ND-PAE)</w:t>
      </w:r>
      <w:r w:rsidRPr="0042365F">
        <w:t xml:space="preserve"> from the DSM-5</w:t>
      </w:r>
      <w:r>
        <w:t xml:space="preserve"> (APA, 2013; Kable &amp; Mukherjee, 2017)</w:t>
      </w:r>
      <w:r w:rsidRPr="0042365F">
        <w:t xml:space="preserve">. Criteria </w:t>
      </w:r>
      <w:r>
        <w:t xml:space="preserve">for ND-PAE </w:t>
      </w:r>
      <w:r w:rsidRPr="0042365F">
        <w:t>can be found in Table 1.</w:t>
      </w:r>
    </w:p>
    <w:tbl>
      <w:tblPr>
        <w:tblStyle w:val="TableGrid"/>
        <w:tblW w:w="0" w:type="auto"/>
        <w:tblLook w:val="04A0" w:firstRow="1" w:lastRow="0" w:firstColumn="1" w:lastColumn="0" w:noHBand="0" w:noVBand="1"/>
      </w:tblPr>
      <w:tblGrid>
        <w:gridCol w:w="9016"/>
      </w:tblGrid>
      <w:tr w:rsidR="0062528A" w14:paraId="58CB5C5F" w14:textId="77777777" w:rsidTr="00511801">
        <w:tc>
          <w:tcPr>
            <w:tcW w:w="9350" w:type="dxa"/>
          </w:tcPr>
          <w:p w14:paraId="0F37446C" w14:textId="56489E6D" w:rsidR="00E95A88" w:rsidRDefault="0062528A" w:rsidP="00511801">
            <w:pPr>
              <w:rPr>
                <w:rFonts w:ascii="Times New Roman" w:hAnsi="Times New Roman" w:cs="Times New Roman"/>
                <w:b/>
                <w:bCs/>
                <w:sz w:val="24"/>
                <w:szCs w:val="24"/>
              </w:rPr>
            </w:pPr>
            <w:r w:rsidRPr="0042365F">
              <w:rPr>
                <w:rFonts w:ascii="Times New Roman" w:hAnsi="Times New Roman" w:cs="Times New Roman"/>
                <w:b/>
                <w:bCs/>
                <w:sz w:val="24"/>
                <w:szCs w:val="24"/>
              </w:rPr>
              <w:t>Table 1</w:t>
            </w:r>
            <w:r w:rsidR="00E95A88">
              <w:rPr>
                <w:rFonts w:ascii="Times New Roman" w:hAnsi="Times New Roman" w:cs="Times New Roman"/>
                <w:b/>
                <w:bCs/>
                <w:sz w:val="24"/>
                <w:szCs w:val="24"/>
              </w:rPr>
              <w:br/>
            </w:r>
          </w:p>
          <w:p w14:paraId="6A46717C" w14:textId="3AF2A878" w:rsidR="0062528A" w:rsidRPr="00E95A88" w:rsidRDefault="0062528A" w:rsidP="00511801">
            <w:pPr>
              <w:rPr>
                <w:rFonts w:ascii="Times New Roman" w:hAnsi="Times New Roman" w:cs="Times New Roman"/>
                <w:i/>
                <w:iCs/>
                <w:sz w:val="24"/>
                <w:szCs w:val="24"/>
              </w:rPr>
            </w:pPr>
            <w:r w:rsidRPr="00E95A88">
              <w:rPr>
                <w:rFonts w:ascii="Times New Roman" w:hAnsi="Times New Roman" w:cs="Times New Roman"/>
                <w:i/>
                <w:iCs/>
                <w:sz w:val="24"/>
                <w:szCs w:val="24"/>
              </w:rPr>
              <w:t>DSM-5 Diagnostic Criteria for ND-PAE</w:t>
            </w:r>
            <w:r w:rsidR="00E95A88">
              <w:rPr>
                <w:rFonts w:ascii="Times New Roman" w:hAnsi="Times New Roman" w:cs="Times New Roman"/>
                <w:i/>
                <w:iCs/>
                <w:sz w:val="24"/>
                <w:szCs w:val="24"/>
              </w:rPr>
              <w:br/>
            </w:r>
          </w:p>
          <w:p w14:paraId="2B7C94B0" w14:textId="77777777" w:rsidR="0062528A" w:rsidRPr="0042365F" w:rsidRDefault="0062528A" w:rsidP="00511801">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Other Specified Neurodevelopmental Disorder: Neurodevelopmental Disorder Associated with Prenatal Alcohol Exposure - 315.8 (F88)</w:t>
            </w:r>
          </w:p>
          <w:p w14:paraId="6560FA54" w14:textId="77777777" w:rsidR="0062528A" w:rsidRPr="0042365F" w:rsidRDefault="0062528A" w:rsidP="00511801">
            <w:pPr>
              <w:rPr>
                <w:rFonts w:ascii="Times New Roman" w:eastAsia="Times New Roman" w:hAnsi="Times New Roman" w:cs="Times New Roman"/>
                <w:sz w:val="24"/>
                <w:szCs w:val="24"/>
              </w:rPr>
            </w:pPr>
          </w:p>
          <w:p w14:paraId="547052EA" w14:textId="77777777" w:rsidR="0062528A" w:rsidRPr="0042365F" w:rsidRDefault="0062528A" w:rsidP="00511801">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A.    </w:t>
            </w:r>
            <w:r w:rsidRPr="0042365F">
              <w:rPr>
                <w:rFonts w:ascii="Times New Roman" w:eastAsia="Times New Roman" w:hAnsi="Times New Roman" w:cs="Times New Roman"/>
                <w:color w:val="000000"/>
                <w:sz w:val="24"/>
                <w:szCs w:val="24"/>
              </w:rPr>
              <w:tab/>
              <w:t>History of more than minimal levels of prenatal alcohol exposure</w:t>
            </w:r>
          </w:p>
          <w:p w14:paraId="7429B226" w14:textId="77777777" w:rsidR="0062528A" w:rsidRPr="0042365F" w:rsidRDefault="0062528A" w:rsidP="00511801">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B.    </w:t>
            </w:r>
            <w:r w:rsidRPr="0042365F">
              <w:rPr>
                <w:rFonts w:ascii="Times New Roman" w:eastAsia="Times New Roman" w:hAnsi="Times New Roman" w:cs="Times New Roman"/>
                <w:color w:val="000000"/>
                <w:sz w:val="24"/>
                <w:szCs w:val="24"/>
              </w:rPr>
              <w:tab/>
              <w:t>Neurocognitive Impairment (one or more of the following)</w:t>
            </w:r>
          </w:p>
          <w:p w14:paraId="7EA43F28" w14:textId="77777777" w:rsidR="0062528A" w:rsidRPr="0042365F" w:rsidRDefault="0062528A" w:rsidP="00511801">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1.     </w:t>
            </w:r>
            <w:r w:rsidRPr="0042365F">
              <w:rPr>
                <w:rFonts w:ascii="Times New Roman" w:eastAsia="Times New Roman" w:hAnsi="Times New Roman" w:cs="Times New Roman"/>
                <w:color w:val="000000"/>
                <w:sz w:val="24"/>
                <w:szCs w:val="24"/>
              </w:rPr>
              <w:tab/>
              <w:t>Global intellectual impairment</w:t>
            </w:r>
          </w:p>
          <w:p w14:paraId="7E17DC56" w14:textId="77777777" w:rsidR="0062528A" w:rsidRPr="0042365F" w:rsidRDefault="0062528A" w:rsidP="00511801">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2.     </w:t>
            </w:r>
            <w:r w:rsidRPr="0042365F">
              <w:rPr>
                <w:rFonts w:ascii="Times New Roman" w:eastAsia="Times New Roman" w:hAnsi="Times New Roman" w:cs="Times New Roman"/>
                <w:color w:val="000000"/>
                <w:sz w:val="24"/>
                <w:szCs w:val="24"/>
              </w:rPr>
              <w:tab/>
              <w:t>Impairment in executive functioning</w:t>
            </w:r>
          </w:p>
          <w:p w14:paraId="746CC45A" w14:textId="77777777" w:rsidR="0062528A" w:rsidRPr="0042365F" w:rsidRDefault="0062528A" w:rsidP="00511801">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3.     </w:t>
            </w:r>
            <w:r w:rsidRPr="0042365F">
              <w:rPr>
                <w:rFonts w:ascii="Times New Roman" w:eastAsia="Times New Roman" w:hAnsi="Times New Roman" w:cs="Times New Roman"/>
                <w:color w:val="000000"/>
                <w:sz w:val="24"/>
                <w:szCs w:val="24"/>
              </w:rPr>
              <w:tab/>
              <w:t>Impairment in learning</w:t>
            </w:r>
          </w:p>
          <w:p w14:paraId="0BB5AD4E" w14:textId="77777777" w:rsidR="0062528A" w:rsidRPr="0042365F" w:rsidRDefault="0062528A" w:rsidP="00511801">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4.     </w:t>
            </w:r>
            <w:r w:rsidRPr="0042365F">
              <w:rPr>
                <w:rFonts w:ascii="Times New Roman" w:eastAsia="Times New Roman" w:hAnsi="Times New Roman" w:cs="Times New Roman"/>
                <w:color w:val="000000"/>
                <w:sz w:val="24"/>
                <w:szCs w:val="24"/>
              </w:rPr>
              <w:tab/>
              <w:t>Impairment in memory</w:t>
            </w:r>
          </w:p>
          <w:p w14:paraId="53C63F82" w14:textId="77777777" w:rsidR="0062528A" w:rsidRPr="0042365F" w:rsidRDefault="0062528A" w:rsidP="00511801">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5.     </w:t>
            </w:r>
            <w:r w:rsidRPr="0042365F">
              <w:rPr>
                <w:rFonts w:ascii="Times New Roman" w:eastAsia="Times New Roman" w:hAnsi="Times New Roman" w:cs="Times New Roman"/>
                <w:color w:val="000000"/>
                <w:sz w:val="24"/>
                <w:szCs w:val="24"/>
              </w:rPr>
              <w:tab/>
              <w:t>Impairment in visual spatial</w:t>
            </w:r>
            <w:r>
              <w:rPr>
                <w:rFonts w:ascii="Times New Roman" w:eastAsia="Times New Roman" w:hAnsi="Times New Roman" w:cs="Times New Roman"/>
                <w:color w:val="000000"/>
                <w:sz w:val="24"/>
                <w:szCs w:val="24"/>
              </w:rPr>
              <w:t xml:space="preserve"> reasoning</w:t>
            </w:r>
          </w:p>
          <w:p w14:paraId="777F4493" w14:textId="77777777" w:rsidR="0062528A" w:rsidRPr="0042365F" w:rsidRDefault="0062528A" w:rsidP="00511801">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C.    </w:t>
            </w:r>
            <w:r w:rsidRPr="0042365F">
              <w:rPr>
                <w:rFonts w:ascii="Times New Roman" w:eastAsia="Times New Roman" w:hAnsi="Times New Roman" w:cs="Times New Roman"/>
                <w:color w:val="000000"/>
                <w:sz w:val="24"/>
                <w:szCs w:val="24"/>
              </w:rPr>
              <w:tab/>
              <w:t>Impairment in self-regulation (one or more of the following)</w:t>
            </w:r>
          </w:p>
          <w:p w14:paraId="6876C040" w14:textId="77777777" w:rsidR="0062528A" w:rsidRPr="0042365F" w:rsidRDefault="0062528A" w:rsidP="00511801">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1.     </w:t>
            </w:r>
            <w:r w:rsidRPr="0042365F">
              <w:rPr>
                <w:rFonts w:ascii="Times New Roman" w:eastAsia="Times New Roman" w:hAnsi="Times New Roman" w:cs="Times New Roman"/>
                <w:color w:val="000000"/>
                <w:sz w:val="24"/>
                <w:szCs w:val="24"/>
              </w:rPr>
              <w:tab/>
              <w:t>Impairment in mood or behavioral regulation</w:t>
            </w:r>
          </w:p>
          <w:p w14:paraId="2EBA330A" w14:textId="77777777" w:rsidR="0062528A" w:rsidRPr="0042365F" w:rsidRDefault="0062528A" w:rsidP="00511801">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2.     </w:t>
            </w:r>
            <w:r w:rsidRPr="0042365F">
              <w:rPr>
                <w:rFonts w:ascii="Times New Roman" w:eastAsia="Times New Roman" w:hAnsi="Times New Roman" w:cs="Times New Roman"/>
                <w:color w:val="000000"/>
                <w:sz w:val="24"/>
                <w:szCs w:val="24"/>
              </w:rPr>
              <w:tab/>
              <w:t>Attention deficit</w:t>
            </w:r>
          </w:p>
          <w:p w14:paraId="3844CDAA" w14:textId="77777777" w:rsidR="0062528A" w:rsidRPr="0042365F" w:rsidRDefault="0062528A" w:rsidP="00511801">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3.     </w:t>
            </w:r>
            <w:r w:rsidRPr="0042365F">
              <w:rPr>
                <w:rFonts w:ascii="Times New Roman" w:eastAsia="Times New Roman" w:hAnsi="Times New Roman" w:cs="Times New Roman"/>
                <w:color w:val="000000"/>
                <w:sz w:val="24"/>
                <w:szCs w:val="24"/>
              </w:rPr>
              <w:tab/>
              <w:t>Impairment in impulse control</w:t>
            </w:r>
          </w:p>
          <w:p w14:paraId="4292D417" w14:textId="77777777" w:rsidR="0062528A" w:rsidRPr="0042365F" w:rsidRDefault="0062528A" w:rsidP="00511801">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D.    </w:t>
            </w:r>
            <w:r w:rsidRPr="0042365F">
              <w:rPr>
                <w:rFonts w:ascii="Times New Roman" w:eastAsia="Times New Roman" w:hAnsi="Times New Roman" w:cs="Times New Roman"/>
                <w:color w:val="000000"/>
                <w:sz w:val="24"/>
                <w:szCs w:val="24"/>
              </w:rPr>
              <w:tab/>
              <w:t>Deficits in adaptive functioning skills (two or more of the following, including at least one that is criteria [1.] or [2.]). </w:t>
            </w:r>
          </w:p>
          <w:p w14:paraId="15DF4E53" w14:textId="77777777" w:rsidR="0062528A" w:rsidRPr="0042365F" w:rsidRDefault="0062528A" w:rsidP="00511801">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1.     </w:t>
            </w:r>
            <w:r w:rsidRPr="0042365F">
              <w:rPr>
                <w:rFonts w:ascii="Times New Roman" w:eastAsia="Times New Roman" w:hAnsi="Times New Roman" w:cs="Times New Roman"/>
                <w:color w:val="000000"/>
                <w:sz w:val="24"/>
                <w:szCs w:val="24"/>
              </w:rPr>
              <w:tab/>
              <w:t>Communication deficit</w:t>
            </w:r>
          </w:p>
          <w:p w14:paraId="32CC8312" w14:textId="77777777" w:rsidR="0062528A" w:rsidRPr="0042365F" w:rsidRDefault="0062528A" w:rsidP="00511801">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2.     </w:t>
            </w:r>
            <w:r w:rsidRPr="0042365F">
              <w:rPr>
                <w:rFonts w:ascii="Times New Roman" w:eastAsia="Times New Roman" w:hAnsi="Times New Roman" w:cs="Times New Roman"/>
                <w:color w:val="000000"/>
                <w:sz w:val="24"/>
                <w:szCs w:val="24"/>
              </w:rPr>
              <w:tab/>
              <w:t>Social impairment</w:t>
            </w:r>
          </w:p>
          <w:p w14:paraId="6ACD16DD" w14:textId="77777777" w:rsidR="0062528A" w:rsidRPr="0042365F" w:rsidRDefault="0062528A" w:rsidP="00511801">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3.     </w:t>
            </w:r>
            <w:r w:rsidRPr="0042365F">
              <w:rPr>
                <w:rFonts w:ascii="Times New Roman" w:eastAsia="Times New Roman" w:hAnsi="Times New Roman" w:cs="Times New Roman"/>
                <w:color w:val="000000"/>
                <w:sz w:val="24"/>
                <w:szCs w:val="24"/>
              </w:rPr>
              <w:tab/>
              <w:t>Impairment in daily living</w:t>
            </w:r>
          </w:p>
          <w:p w14:paraId="58F30782" w14:textId="77777777" w:rsidR="0062528A" w:rsidRPr="0042365F" w:rsidRDefault="0062528A" w:rsidP="00511801">
            <w:pPr>
              <w:ind w:left="1440"/>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4.     </w:t>
            </w:r>
            <w:r w:rsidRPr="0042365F">
              <w:rPr>
                <w:rFonts w:ascii="Times New Roman" w:eastAsia="Times New Roman" w:hAnsi="Times New Roman" w:cs="Times New Roman"/>
                <w:color w:val="000000"/>
                <w:sz w:val="24"/>
                <w:szCs w:val="24"/>
              </w:rPr>
              <w:tab/>
              <w:t>Motor impairment</w:t>
            </w:r>
          </w:p>
          <w:p w14:paraId="7E73DD5D" w14:textId="77777777" w:rsidR="0062528A" w:rsidRPr="0042365F" w:rsidRDefault="0062528A" w:rsidP="00511801">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E.    </w:t>
            </w:r>
            <w:r w:rsidRPr="0042365F">
              <w:rPr>
                <w:rFonts w:ascii="Times New Roman" w:eastAsia="Times New Roman" w:hAnsi="Times New Roman" w:cs="Times New Roman"/>
                <w:color w:val="000000"/>
                <w:sz w:val="24"/>
                <w:szCs w:val="24"/>
              </w:rPr>
              <w:tab/>
              <w:t>Onset of disturbance is before 18 years of age.</w:t>
            </w:r>
          </w:p>
          <w:p w14:paraId="3E004281" w14:textId="77777777" w:rsidR="0062528A" w:rsidRPr="0042365F" w:rsidRDefault="0062528A" w:rsidP="00511801">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F.    </w:t>
            </w:r>
            <w:r w:rsidRPr="0042365F">
              <w:rPr>
                <w:rFonts w:ascii="Times New Roman" w:eastAsia="Times New Roman" w:hAnsi="Times New Roman" w:cs="Times New Roman"/>
                <w:color w:val="000000"/>
                <w:sz w:val="24"/>
                <w:szCs w:val="24"/>
              </w:rPr>
              <w:tab/>
              <w:t>The disturbance causes clinically significant distress or impairment in social, occupational, or other important areas of functioning.</w:t>
            </w:r>
          </w:p>
          <w:p w14:paraId="2B04234F" w14:textId="77777777" w:rsidR="0062528A" w:rsidRPr="0042365F" w:rsidRDefault="0062528A" w:rsidP="00511801">
            <w:pPr>
              <w:rPr>
                <w:rFonts w:ascii="Times New Roman" w:eastAsia="Times New Roman" w:hAnsi="Times New Roman" w:cs="Times New Roman"/>
                <w:sz w:val="24"/>
                <w:szCs w:val="24"/>
              </w:rPr>
            </w:pPr>
            <w:r w:rsidRPr="0042365F">
              <w:rPr>
                <w:rFonts w:ascii="Times New Roman" w:eastAsia="Times New Roman" w:hAnsi="Times New Roman" w:cs="Times New Roman"/>
                <w:color w:val="000000"/>
                <w:sz w:val="24"/>
                <w:szCs w:val="24"/>
              </w:rPr>
              <w:t xml:space="preserve">G.    </w:t>
            </w:r>
            <w:r w:rsidRPr="0042365F">
              <w:rPr>
                <w:rFonts w:ascii="Times New Roman" w:eastAsia="Times New Roman" w:hAnsi="Times New Roman" w:cs="Times New Roman"/>
                <w:color w:val="000000"/>
                <w:sz w:val="24"/>
                <w:szCs w:val="24"/>
              </w:rPr>
              <w:tab/>
              <w:t xml:space="preserve">The disturbance is not better explained by the direct physiological </w:t>
            </w:r>
            <w:proofErr w:type="spellStart"/>
            <w:r w:rsidRPr="0042365F">
              <w:rPr>
                <w:rFonts w:ascii="Times New Roman" w:eastAsia="Times New Roman" w:hAnsi="Times New Roman" w:cs="Times New Roman"/>
                <w:color w:val="000000"/>
                <w:sz w:val="24"/>
                <w:szCs w:val="24"/>
              </w:rPr>
              <w:t>affects</w:t>
            </w:r>
            <w:proofErr w:type="spellEnd"/>
            <w:r w:rsidRPr="0042365F">
              <w:rPr>
                <w:rFonts w:ascii="Times New Roman" w:eastAsia="Times New Roman" w:hAnsi="Times New Roman" w:cs="Times New Roman"/>
                <w:color w:val="000000"/>
                <w:sz w:val="24"/>
                <w:szCs w:val="24"/>
              </w:rPr>
              <w:t xml:space="preserve"> associated with postnatal use of a substance, other known teratogens, a genetic condition, or environmental neglect and/or abuse.</w:t>
            </w:r>
          </w:p>
        </w:tc>
      </w:tr>
    </w:tbl>
    <w:p w14:paraId="0CA39E14" w14:textId="77777777" w:rsidR="0062528A" w:rsidRDefault="0062528A" w:rsidP="0062528A">
      <w:pPr>
        <w:spacing w:line="480" w:lineRule="auto"/>
      </w:pPr>
    </w:p>
    <w:p w14:paraId="7BF41883" w14:textId="77777777" w:rsidR="0062528A" w:rsidRDefault="0062528A" w:rsidP="0062528A">
      <w:pPr>
        <w:spacing w:line="480" w:lineRule="auto"/>
      </w:pPr>
      <w:r>
        <w:lastRenderedPageBreak/>
        <w:t xml:space="preserve">(Alternate text description for Table 1: This table shows the DSM-5 criteria for </w:t>
      </w:r>
      <w:r w:rsidRPr="0042365F">
        <w:rPr>
          <w:color w:val="000000"/>
        </w:rPr>
        <w:t>Other Specified Neurodevelopmental Disorder: Neurodevelopmental Disorder Associated with Prenatal Alcohol Exposure</w:t>
      </w:r>
      <w:r>
        <w:rPr>
          <w:color w:val="000000"/>
        </w:rPr>
        <w:t xml:space="preserve">. The billing codes for the disorder are </w:t>
      </w:r>
      <w:r w:rsidRPr="0042365F">
        <w:rPr>
          <w:color w:val="000000"/>
        </w:rPr>
        <w:t>315.8 (F88)</w:t>
      </w:r>
      <w:r>
        <w:rPr>
          <w:color w:val="000000"/>
        </w:rPr>
        <w:t>.)</w:t>
      </w:r>
    </w:p>
    <w:p w14:paraId="5E5D6315" w14:textId="77777777" w:rsidR="0062528A" w:rsidRDefault="0062528A" w:rsidP="0062528A">
      <w:pPr>
        <w:spacing w:line="480" w:lineRule="auto"/>
      </w:pPr>
      <w:r>
        <w:t xml:space="preserve">Participants were evaluated using an interdisciplinary approach to the diagnosis, meaning that all professionals evaluated the participants simultaneously. Due to restrictions put in place </w:t>
      </w:r>
      <w:proofErr w:type="gramStart"/>
      <w:r>
        <w:t>as a consequence of</w:t>
      </w:r>
      <w:proofErr w:type="gramEnd"/>
      <w:r>
        <w:t xml:space="preserve"> the COVID-19 pandemic, only a certain number of team members were physically present with the participants and their families. The other team members connected to the evaluation by means of a virtual platform and utilized telemedicine to complete their assessments.</w:t>
      </w:r>
    </w:p>
    <w:p w14:paraId="3FAF0275" w14:textId="08B5476B" w:rsidR="0062528A" w:rsidRDefault="0062528A" w:rsidP="0062528A">
      <w:pPr>
        <w:spacing w:line="480" w:lineRule="auto"/>
      </w:pPr>
      <w:r>
        <w:t>The evaluation began with a detailed interview, including questions about pre- and post-natal care, other medical, and social history. Participants were screened for hearing difficulties using a 20dB pure-tone audiometric evaluation at 1,000 Hz, 2,000 Hz, and 4,000 Hz.</w:t>
      </w:r>
      <w:r w:rsidR="00E95A88">
        <w:t xml:space="preserve"> </w:t>
      </w:r>
      <w:r>
        <w:t xml:space="preserve">After the hearing evaluation, participants partook in a battery of assessments to investigate current level of functioning in areas related to diagnostic criteria for ND-PAE. </w:t>
      </w:r>
    </w:p>
    <w:p w14:paraId="37FE1693" w14:textId="77777777" w:rsidR="0062528A" w:rsidRDefault="0062528A" w:rsidP="0062528A">
      <w:pPr>
        <w:spacing w:line="480" w:lineRule="auto"/>
      </w:pPr>
      <w:r>
        <w:t>Students from the speech-language pathology graduate program conducted the static and dynamic assessment measures under the supervision of a licensed speech-language pathologist. Each participant was given an individualized testing battery which included a combination of assessments.</w:t>
      </w:r>
      <w:r w:rsidRPr="00A962F2">
        <w:t xml:space="preserve"> </w:t>
      </w:r>
      <w:r>
        <w:t xml:space="preserve">Most of the assessments utilized by the team were norm-referenced, although criterion-referenced assessments were used occasionally. Assessments commonly used in SDRC include the </w:t>
      </w:r>
      <w:r w:rsidRPr="00A22275">
        <w:rPr>
          <w:i/>
          <w:iCs/>
          <w:u w:val="single"/>
        </w:rPr>
        <w:t>Behavior Rating Inventory of Executive Function (BRIEF-2)</w:t>
      </w:r>
      <w:r>
        <w:rPr>
          <w:i/>
          <w:iCs/>
          <w:u w:val="single"/>
        </w:rPr>
        <w:t>,</w:t>
      </w:r>
      <w:r w:rsidRPr="00873D9C">
        <w:rPr>
          <w:iCs/>
        </w:rPr>
        <w:t xml:space="preserve"> which</w:t>
      </w:r>
      <w:r>
        <w:t xml:space="preserve"> is often used to assess the participant’s executive function. The </w:t>
      </w:r>
      <w:r>
        <w:rPr>
          <w:i/>
          <w:iCs/>
          <w:u w:val="single"/>
        </w:rPr>
        <w:t>BRIEF-2</w:t>
      </w:r>
      <w:r>
        <w:t xml:space="preserve"> is a caregiver questionnaire in which the caregiver ranks the participant’s executive function and related behaviors within the last six months. To assess for communication, a language assessment like the </w:t>
      </w:r>
      <w:r>
        <w:rPr>
          <w:i/>
          <w:iCs/>
          <w:u w:val="single"/>
        </w:rPr>
        <w:t>Clinical Evaluation of Language Fundamentals, 5</w:t>
      </w:r>
      <w:r w:rsidRPr="00A22275">
        <w:rPr>
          <w:i/>
          <w:iCs/>
          <w:u w:val="single"/>
          <w:vertAlign w:val="superscript"/>
        </w:rPr>
        <w:t>th</w:t>
      </w:r>
      <w:r>
        <w:rPr>
          <w:i/>
          <w:iCs/>
          <w:u w:val="single"/>
        </w:rPr>
        <w:t xml:space="preserve"> Edition (CELF-5)</w:t>
      </w:r>
      <w:r>
        <w:t xml:space="preserve"> or </w:t>
      </w:r>
      <w:r>
        <w:lastRenderedPageBreak/>
        <w:t xml:space="preserve">the </w:t>
      </w:r>
      <w:r>
        <w:rPr>
          <w:i/>
          <w:iCs/>
          <w:u w:val="single"/>
        </w:rPr>
        <w:t>Oral and Written Language Scales, 3</w:t>
      </w:r>
      <w:r w:rsidRPr="00A22275">
        <w:rPr>
          <w:i/>
          <w:iCs/>
          <w:u w:val="single"/>
          <w:vertAlign w:val="superscript"/>
        </w:rPr>
        <w:t>rd</w:t>
      </w:r>
      <w:r>
        <w:rPr>
          <w:i/>
          <w:iCs/>
          <w:u w:val="single"/>
        </w:rPr>
        <w:t xml:space="preserve"> Edition (OWLS-III) </w:t>
      </w:r>
      <w:r>
        <w:t xml:space="preserve">is often used. Both the </w:t>
      </w:r>
      <w:r>
        <w:rPr>
          <w:i/>
          <w:iCs/>
          <w:u w:val="single"/>
        </w:rPr>
        <w:t xml:space="preserve">CELF-5 </w:t>
      </w:r>
      <w:r>
        <w:t xml:space="preserve">and the </w:t>
      </w:r>
      <w:r>
        <w:rPr>
          <w:i/>
          <w:iCs/>
          <w:u w:val="single"/>
        </w:rPr>
        <w:t>OWLS-III</w:t>
      </w:r>
      <w:r>
        <w:t xml:space="preserve"> are norm-referenced assessments used to evaluate the participant’s understanding and use of a variety of types of language, including receptive language, expressive language, language content, and overall language. The </w:t>
      </w:r>
      <w:r>
        <w:rPr>
          <w:i/>
          <w:iCs/>
          <w:u w:val="single"/>
        </w:rPr>
        <w:t>Social Skills Improvement System (</w:t>
      </w:r>
      <w:proofErr w:type="spellStart"/>
      <w:r>
        <w:rPr>
          <w:i/>
          <w:iCs/>
          <w:u w:val="single"/>
        </w:rPr>
        <w:t>SSiS</w:t>
      </w:r>
      <w:proofErr w:type="spellEnd"/>
      <w:r>
        <w:rPr>
          <w:i/>
          <w:iCs/>
          <w:u w:val="single"/>
        </w:rPr>
        <w:t>)</w:t>
      </w:r>
      <w:r>
        <w:t xml:space="preserve"> is often used to assess social skills in children and teens ages 3-18 and the </w:t>
      </w:r>
      <w:r>
        <w:rPr>
          <w:i/>
          <w:iCs/>
          <w:u w:val="single"/>
        </w:rPr>
        <w:t>Vineland Adaptive Scales, 3</w:t>
      </w:r>
      <w:r w:rsidRPr="00C3774B">
        <w:rPr>
          <w:i/>
          <w:iCs/>
          <w:u w:val="single"/>
          <w:vertAlign w:val="superscript"/>
        </w:rPr>
        <w:t>rd</w:t>
      </w:r>
      <w:r>
        <w:rPr>
          <w:i/>
          <w:iCs/>
          <w:u w:val="single"/>
        </w:rPr>
        <w:t xml:space="preserve"> Edition (Vineland-3)</w:t>
      </w:r>
      <w:r>
        <w:t xml:space="preserve"> is often used to assess adaptive function. Both the </w:t>
      </w:r>
      <w:proofErr w:type="spellStart"/>
      <w:r>
        <w:rPr>
          <w:i/>
          <w:iCs/>
          <w:u w:val="single"/>
        </w:rPr>
        <w:t>SSiS</w:t>
      </w:r>
      <w:proofErr w:type="spellEnd"/>
      <w:r>
        <w:rPr>
          <w:i/>
          <w:iCs/>
          <w:u w:val="single"/>
        </w:rPr>
        <w:t xml:space="preserve"> </w:t>
      </w:r>
      <w:r>
        <w:t xml:space="preserve">and the </w:t>
      </w:r>
      <w:r>
        <w:rPr>
          <w:i/>
          <w:iCs/>
          <w:u w:val="single"/>
        </w:rPr>
        <w:t>Vineland-</w:t>
      </w:r>
      <w:r w:rsidRPr="00EE58DB">
        <w:t>3</w:t>
      </w:r>
      <w:r>
        <w:t xml:space="preserve"> are also rating systems ranked by the caregiver on frequency of certain behaviors. </w:t>
      </w:r>
      <w:r w:rsidRPr="00EE58DB">
        <w:t>Depending</w:t>
      </w:r>
      <w:r>
        <w:t xml:space="preserve"> on the concerns expressed by caregivers and participants, additional assessments may be used during an evaluation session. The SDRC diagnostic team also utilizes existing information, like comorbid disorders and existing diagnoses to help make the decision for diagnostic criteria. </w:t>
      </w:r>
    </w:p>
    <w:p w14:paraId="29B4D79A" w14:textId="77777777" w:rsidR="0062528A" w:rsidRDefault="0062528A" w:rsidP="0062528A">
      <w:pPr>
        <w:spacing w:line="480" w:lineRule="auto"/>
      </w:pPr>
      <w:r>
        <w:t xml:space="preserve">To confirm or rule out the presence of ND-PAE, the SDRC team utilizes the combination of a detailed case-history interview, client observations during the evaluation session, norm- and criterion-referenced assessments, and the client’s existing medical diagnoses. For the purposes of this study, 77 participants were evaluated using the described SDRC diagnostic procedure. Information utilized for analysis included gender, age, confirmation of alcohol and/or drug exposure, whether an ND-PAE diagnosis was given, and whether the participant was referred to a geneticist to rule out fetal alcohol syndrome or test for other syndromes. This information regarding these factors can be found in Table 2. </w:t>
      </w:r>
    </w:p>
    <w:tbl>
      <w:tblPr>
        <w:tblStyle w:val="TableGrid"/>
        <w:tblW w:w="0" w:type="auto"/>
        <w:tblLook w:val="04A0" w:firstRow="1" w:lastRow="0" w:firstColumn="1" w:lastColumn="0" w:noHBand="0" w:noVBand="1"/>
      </w:tblPr>
      <w:tblGrid>
        <w:gridCol w:w="9016"/>
      </w:tblGrid>
      <w:tr w:rsidR="0062528A" w14:paraId="0B7D5198" w14:textId="77777777" w:rsidTr="00511801">
        <w:tc>
          <w:tcPr>
            <w:tcW w:w="9350" w:type="dxa"/>
          </w:tcPr>
          <w:p w14:paraId="5ED02061" w14:textId="77777777" w:rsidR="00E95A88" w:rsidRDefault="0062528A" w:rsidP="00511801">
            <w:pPr>
              <w:spacing w:line="480" w:lineRule="auto"/>
              <w:rPr>
                <w:rFonts w:ascii="Times New Roman" w:hAnsi="Times New Roman" w:cs="Times New Roman"/>
                <w:sz w:val="24"/>
                <w:szCs w:val="24"/>
              </w:rPr>
            </w:pPr>
            <w:r w:rsidRPr="00E95A88">
              <w:rPr>
                <w:rFonts w:ascii="Times New Roman" w:hAnsi="Times New Roman" w:cs="Times New Roman"/>
                <w:b/>
                <w:bCs/>
                <w:sz w:val="24"/>
                <w:szCs w:val="24"/>
              </w:rPr>
              <w:t>Table 2:</w:t>
            </w:r>
            <w:r>
              <w:rPr>
                <w:rFonts w:ascii="Times New Roman" w:hAnsi="Times New Roman" w:cs="Times New Roman"/>
                <w:sz w:val="24"/>
                <w:szCs w:val="24"/>
              </w:rPr>
              <w:t xml:space="preserve"> </w:t>
            </w:r>
          </w:p>
          <w:p w14:paraId="19BFEC64" w14:textId="2D819223" w:rsidR="0062528A" w:rsidRPr="00E95A88" w:rsidRDefault="0062528A" w:rsidP="00511801">
            <w:pPr>
              <w:spacing w:line="480" w:lineRule="auto"/>
              <w:rPr>
                <w:rFonts w:ascii="Times New Roman" w:hAnsi="Times New Roman" w:cs="Times New Roman"/>
                <w:i/>
                <w:iCs/>
                <w:sz w:val="24"/>
                <w:szCs w:val="24"/>
              </w:rPr>
            </w:pPr>
            <w:r w:rsidRPr="00E95A88">
              <w:rPr>
                <w:rFonts w:ascii="Times New Roman" w:hAnsi="Times New Roman" w:cs="Times New Roman"/>
                <w:i/>
                <w:iCs/>
                <w:sz w:val="24"/>
                <w:szCs w:val="24"/>
              </w:rPr>
              <w:t>Participant Information</w:t>
            </w:r>
          </w:p>
          <w:tbl>
            <w:tblPr>
              <w:tblStyle w:val="TableGrid"/>
              <w:tblW w:w="0" w:type="auto"/>
              <w:tblLook w:val="04A0" w:firstRow="1" w:lastRow="0" w:firstColumn="1" w:lastColumn="0" w:noHBand="0" w:noVBand="1"/>
            </w:tblPr>
            <w:tblGrid>
              <w:gridCol w:w="2743"/>
              <w:gridCol w:w="6047"/>
            </w:tblGrid>
            <w:tr w:rsidR="0062528A" w14:paraId="257AB2D4" w14:textId="77777777" w:rsidTr="00511801">
              <w:tc>
                <w:tcPr>
                  <w:tcW w:w="2875" w:type="dxa"/>
                </w:tcPr>
                <w:p w14:paraId="72DC69B4"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Total participant population</w:t>
                  </w:r>
                </w:p>
              </w:tc>
              <w:tc>
                <w:tcPr>
                  <w:tcW w:w="6475" w:type="dxa"/>
                </w:tcPr>
                <w:p w14:paraId="0CD01322"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n=77</w:t>
                  </w:r>
                </w:p>
              </w:tc>
            </w:tr>
            <w:tr w:rsidR="0062528A" w14:paraId="79A59D28" w14:textId="77777777" w:rsidTr="00511801">
              <w:tc>
                <w:tcPr>
                  <w:tcW w:w="2875" w:type="dxa"/>
                </w:tcPr>
                <w:p w14:paraId="6F2B40AF"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Gender</w:t>
                  </w:r>
                </w:p>
              </w:tc>
              <w:tc>
                <w:tcPr>
                  <w:tcW w:w="6475" w:type="dxa"/>
                </w:tcPr>
                <w:p w14:paraId="695D7953"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Male: n=42</w:t>
                  </w:r>
                </w:p>
                <w:p w14:paraId="420459D1"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Female: n=33</w:t>
                  </w:r>
                </w:p>
                <w:p w14:paraId="3BF679A6"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Nonbinary: n=0</w:t>
                  </w:r>
                </w:p>
              </w:tc>
            </w:tr>
            <w:tr w:rsidR="0062528A" w14:paraId="3F3E2D1E" w14:textId="77777777" w:rsidTr="00511801">
              <w:tc>
                <w:tcPr>
                  <w:tcW w:w="2875" w:type="dxa"/>
                </w:tcPr>
                <w:p w14:paraId="618B0F26"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lastRenderedPageBreak/>
                    <w:t>Age:</w:t>
                  </w:r>
                </w:p>
              </w:tc>
              <w:tc>
                <w:tcPr>
                  <w:tcW w:w="6475" w:type="dxa"/>
                </w:tcPr>
                <w:p w14:paraId="2ED11C51"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Mean: 8.83</w:t>
                  </w:r>
                </w:p>
                <w:p w14:paraId="27381E67"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Median: 7.67</w:t>
                  </w:r>
                </w:p>
                <w:p w14:paraId="2EF31A21"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Standard Deviation: 6.357</w:t>
                  </w:r>
                </w:p>
              </w:tc>
            </w:tr>
            <w:tr w:rsidR="0062528A" w14:paraId="0B69797E" w14:textId="77777777" w:rsidTr="00511801">
              <w:tc>
                <w:tcPr>
                  <w:tcW w:w="2875" w:type="dxa"/>
                </w:tcPr>
                <w:p w14:paraId="4F55BC87"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 xml:space="preserve">Confirmed alcohol exposure: </w:t>
                  </w:r>
                </w:p>
              </w:tc>
              <w:tc>
                <w:tcPr>
                  <w:tcW w:w="6475" w:type="dxa"/>
                </w:tcPr>
                <w:p w14:paraId="272E5EB6"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Yes: n=73</w:t>
                  </w:r>
                </w:p>
                <w:p w14:paraId="38F43386"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No: n=4</w:t>
                  </w:r>
                </w:p>
              </w:tc>
            </w:tr>
            <w:tr w:rsidR="0062528A" w14:paraId="2A2259D7" w14:textId="77777777" w:rsidTr="00511801">
              <w:tc>
                <w:tcPr>
                  <w:tcW w:w="2875" w:type="dxa"/>
                </w:tcPr>
                <w:p w14:paraId="68669A22"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 xml:space="preserve">Confirmed additional drug exposure: </w:t>
                  </w:r>
                </w:p>
              </w:tc>
              <w:tc>
                <w:tcPr>
                  <w:tcW w:w="6475" w:type="dxa"/>
                </w:tcPr>
                <w:p w14:paraId="4333EF81"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Yes: n=72</w:t>
                  </w:r>
                </w:p>
                <w:p w14:paraId="3A7809F2"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No: n=5</w:t>
                  </w:r>
                </w:p>
              </w:tc>
            </w:tr>
            <w:tr w:rsidR="0062528A" w14:paraId="17FE8F5C" w14:textId="77777777" w:rsidTr="00511801">
              <w:tc>
                <w:tcPr>
                  <w:tcW w:w="2875" w:type="dxa"/>
                </w:tcPr>
                <w:p w14:paraId="02DD472E"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Diagnosis given at evaluation:</w:t>
                  </w:r>
                </w:p>
              </w:tc>
              <w:tc>
                <w:tcPr>
                  <w:tcW w:w="6475" w:type="dxa"/>
                </w:tcPr>
                <w:p w14:paraId="7E005A6B"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Yes: n=53</w:t>
                  </w:r>
                </w:p>
                <w:p w14:paraId="6E99A93E"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No: n=24 (including suspected FASD but not confirmed: n=13)</w:t>
                  </w:r>
                </w:p>
              </w:tc>
            </w:tr>
            <w:tr w:rsidR="0062528A" w14:paraId="48167C59" w14:textId="77777777" w:rsidTr="00511801">
              <w:tc>
                <w:tcPr>
                  <w:tcW w:w="2875" w:type="dxa"/>
                </w:tcPr>
                <w:p w14:paraId="1BCE7C30"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Referral to genetics for further evaluation:</w:t>
                  </w:r>
                </w:p>
              </w:tc>
              <w:tc>
                <w:tcPr>
                  <w:tcW w:w="6475" w:type="dxa"/>
                </w:tcPr>
                <w:p w14:paraId="5B7F0704"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Yes: n=16</w:t>
                  </w:r>
                </w:p>
                <w:p w14:paraId="333D0C88"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No: n=61</w:t>
                  </w:r>
                </w:p>
              </w:tc>
            </w:tr>
          </w:tbl>
          <w:p w14:paraId="21AD2BFD" w14:textId="77777777" w:rsidR="0062528A" w:rsidRDefault="0062528A" w:rsidP="00511801">
            <w:pPr>
              <w:spacing w:line="480" w:lineRule="auto"/>
              <w:jc w:val="center"/>
              <w:rPr>
                <w:rFonts w:ascii="Times New Roman" w:hAnsi="Times New Roman" w:cs="Times New Roman"/>
                <w:b/>
                <w:bCs/>
                <w:sz w:val="24"/>
                <w:szCs w:val="24"/>
              </w:rPr>
            </w:pPr>
          </w:p>
        </w:tc>
      </w:tr>
    </w:tbl>
    <w:p w14:paraId="61AFEF09" w14:textId="77777777" w:rsidR="0062528A" w:rsidRPr="00873D9C" w:rsidRDefault="0062528A" w:rsidP="0062528A">
      <w:pPr>
        <w:spacing w:line="480" w:lineRule="auto"/>
        <w:rPr>
          <w:bCs/>
        </w:rPr>
      </w:pPr>
      <w:r w:rsidRPr="00873D9C">
        <w:rPr>
          <w:bCs/>
        </w:rPr>
        <w:lastRenderedPageBreak/>
        <w:t xml:space="preserve">(Alternative text description Table 2: This table shows Participant Information, which includes the total participant population </w:t>
      </w:r>
      <w:r>
        <w:rPr>
          <w:bCs/>
        </w:rPr>
        <w:t>[</w:t>
      </w:r>
      <w:r w:rsidRPr="00873D9C">
        <w:rPr>
          <w:bCs/>
        </w:rPr>
        <w:t>n=77</w:t>
      </w:r>
      <w:r>
        <w:rPr>
          <w:bCs/>
        </w:rPr>
        <w:t>]</w:t>
      </w:r>
      <w:r w:rsidRPr="00873D9C">
        <w:rPr>
          <w:bCs/>
        </w:rPr>
        <w:t>, gender</w:t>
      </w:r>
      <w:r>
        <w:rPr>
          <w:bCs/>
        </w:rPr>
        <w:t xml:space="preserve"> [</w:t>
      </w:r>
      <w:r>
        <w:t>Yes: n=73, No: n=4]</w:t>
      </w:r>
      <w:r w:rsidRPr="00873D9C">
        <w:rPr>
          <w:bCs/>
        </w:rPr>
        <w:t>, age</w:t>
      </w:r>
      <w:r>
        <w:rPr>
          <w:bCs/>
        </w:rPr>
        <w:t xml:space="preserve"> [</w:t>
      </w:r>
      <w:r>
        <w:t>Mean: 8.83, Median: 7.67, Standard Deviation: 6.357]</w:t>
      </w:r>
      <w:r w:rsidRPr="00873D9C">
        <w:rPr>
          <w:bCs/>
        </w:rPr>
        <w:t>, confirmed alcohol exposure</w:t>
      </w:r>
      <w:r w:rsidRPr="003721AD">
        <w:t xml:space="preserve"> </w:t>
      </w:r>
      <w:r>
        <w:t>[Yes: n=73, No: n=4]</w:t>
      </w:r>
      <w:r w:rsidRPr="00873D9C">
        <w:rPr>
          <w:bCs/>
        </w:rPr>
        <w:t>, confirmed additional drug exposure</w:t>
      </w:r>
      <w:r>
        <w:rPr>
          <w:bCs/>
        </w:rPr>
        <w:t xml:space="preserve"> [</w:t>
      </w:r>
      <w:r>
        <w:t>Yes: n=72, No: n=5]</w:t>
      </w:r>
      <w:r w:rsidRPr="00873D9C">
        <w:rPr>
          <w:bCs/>
        </w:rPr>
        <w:t>, diagnosis given at evaluation</w:t>
      </w:r>
      <w:r>
        <w:rPr>
          <w:bCs/>
        </w:rPr>
        <w:t xml:space="preserve"> [</w:t>
      </w:r>
      <w:r>
        <w:t>Yes: n=53, No: n=24 (including suspected FASD but not confirmed: n=13)]</w:t>
      </w:r>
      <w:r w:rsidRPr="00873D9C">
        <w:rPr>
          <w:bCs/>
        </w:rPr>
        <w:t>, and a referral to genetics for further evaluation</w:t>
      </w:r>
      <w:r>
        <w:rPr>
          <w:bCs/>
        </w:rPr>
        <w:t xml:space="preserve"> [</w:t>
      </w:r>
      <w:r>
        <w:t>Yes: n=16, No: n=61])</w:t>
      </w:r>
      <w:r w:rsidRPr="00873D9C">
        <w:rPr>
          <w:bCs/>
        </w:rPr>
        <w:t xml:space="preserve">. </w:t>
      </w:r>
    </w:p>
    <w:p w14:paraId="35721CAA" w14:textId="77777777" w:rsidR="0062528A" w:rsidRPr="00A962F2" w:rsidRDefault="0062528A" w:rsidP="0062528A">
      <w:pPr>
        <w:spacing w:line="480" w:lineRule="auto"/>
        <w:jc w:val="center"/>
        <w:rPr>
          <w:b/>
          <w:bCs/>
        </w:rPr>
      </w:pPr>
      <w:r w:rsidRPr="00A962F2">
        <w:rPr>
          <w:b/>
          <w:bCs/>
        </w:rPr>
        <w:t>Results</w:t>
      </w:r>
    </w:p>
    <w:p w14:paraId="75C26AEA" w14:textId="71771701" w:rsidR="0062528A" w:rsidRDefault="0062528A" w:rsidP="0062528A">
      <w:pPr>
        <w:spacing w:line="480" w:lineRule="auto"/>
      </w:pPr>
      <w:r w:rsidRPr="006964AA">
        <w:t xml:space="preserve">The diagnostic method used by SDRC has been utilized for 77 individuals and families over the past two years. </w:t>
      </w:r>
      <w:r>
        <w:t xml:space="preserve">A Spearman rho correlation coefficient was conducted to identify trends and any relationships between the study variables, including diagnosis given at an evaluation, age, gender, confirmed alcohol exposure, confirmed drug exposure. Although many of the relationships between these variables were not significantly correlated, there were relationships identified. Using an alpha of 0.05, the following relationships were identified: A negative correlation was identified between “gender” and “referrals to genetics,” </w:t>
      </w:r>
      <w:proofErr w:type="gramStart"/>
      <w:r>
        <w:t>r(</w:t>
      </w:r>
      <w:proofErr w:type="gramEnd"/>
      <w:r>
        <w:t xml:space="preserve">75) = -.254, p (2-tailed)= 026. Another negative correlation was identified between “chronological age” and “confirmed alcohol exposure,” </w:t>
      </w:r>
      <w:proofErr w:type="gramStart"/>
      <w:r>
        <w:t>r(</w:t>
      </w:r>
      <w:proofErr w:type="gramEnd"/>
      <w:r>
        <w:t>75) = -2.49, p(2-tailed)=0.029. Likewise, a negative correlation between the “diagnosis given at the time of evaluation” and “chronological age,” r (75) = -0.445, p (2-</w:t>
      </w:r>
      <w:proofErr w:type="gramStart"/>
      <w:r>
        <w:t>tailed)=</w:t>
      </w:r>
      <w:proofErr w:type="gramEnd"/>
      <w:r>
        <w:t xml:space="preserve"> &lt;0.001. Finally, a positive correlation was </w:t>
      </w:r>
      <w:r>
        <w:lastRenderedPageBreak/>
        <w:t>identified between “confirmation of alcohol exposure” and “confirmation of drug exposure,” r (75) = 0.651, p (2-</w:t>
      </w:r>
      <w:proofErr w:type="gramStart"/>
      <w:r>
        <w:t>tailed)=</w:t>
      </w:r>
      <w:proofErr w:type="gramEnd"/>
      <w:r>
        <w:t xml:space="preserve">&lt;0.001. These results indicate that younger participants are more likely to have confirmed alcohol exposure than older participants, males are more likely to be referred to genetics, younger children are more likely to be given a diagnosis at the time of the evaluation. Finally, participants that had alcohol exposure were more likely to also have drug exposure. These results can be seen in Table 3. </w:t>
      </w:r>
    </w:p>
    <w:tbl>
      <w:tblPr>
        <w:tblStyle w:val="TableGrid"/>
        <w:tblW w:w="0" w:type="auto"/>
        <w:tblInd w:w="-275" w:type="dxa"/>
        <w:tblLook w:val="04A0" w:firstRow="1" w:lastRow="0" w:firstColumn="1" w:lastColumn="0" w:noHBand="0" w:noVBand="1"/>
      </w:tblPr>
      <w:tblGrid>
        <w:gridCol w:w="9291"/>
      </w:tblGrid>
      <w:tr w:rsidR="0062528A" w14:paraId="301566CC" w14:textId="77777777" w:rsidTr="005F37B7">
        <w:tc>
          <w:tcPr>
            <w:tcW w:w="9291" w:type="dxa"/>
          </w:tcPr>
          <w:p w14:paraId="3E8C85F3" w14:textId="631F583C" w:rsidR="0062528A" w:rsidRDefault="0062528A" w:rsidP="00511801">
            <w:pPr>
              <w:spacing w:line="259" w:lineRule="auto"/>
              <w:rPr>
                <w:rFonts w:ascii="Times New Roman" w:hAnsi="Times New Roman" w:cs="Times New Roman"/>
                <w:sz w:val="24"/>
                <w:szCs w:val="24"/>
              </w:rPr>
            </w:pPr>
            <w:r w:rsidRPr="005F37B7">
              <w:rPr>
                <w:rFonts w:ascii="Times New Roman" w:hAnsi="Times New Roman" w:cs="Times New Roman"/>
                <w:b/>
                <w:bCs/>
                <w:sz w:val="24"/>
                <w:szCs w:val="24"/>
              </w:rPr>
              <w:t>Table 3</w:t>
            </w:r>
            <w:r>
              <w:rPr>
                <w:rFonts w:ascii="Times New Roman" w:hAnsi="Times New Roman" w:cs="Times New Roman"/>
                <w:sz w:val="24"/>
                <w:szCs w:val="24"/>
              </w:rPr>
              <w:t xml:space="preserve"> </w:t>
            </w:r>
            <w:r w:rsidR="005F37B7">
              <w:rPr>
                <w:rFonts w:ascii="Times New Roman" w:hAnsi="Times New Roman" w:cs="Times New Roman"/>
                <w:sz w:val="24"/>
                <w:szCs w:val="24"/>
              </w:rPr>
              <w:br/>
            </w:r>
            <w:r>
              <w:rPr>
                <w:rFonts w:ascii="Times New Roman" w:hAnsi="Times New Roman" w:cs="Times New Roman"/>
                <w:sz w:val="24"/>
                <w:szCs w:val="24"/>
              </w:rPr>
              <w:t>Pe</w:t>
            </w:r>
            <w:r w:rsidRPr="005F37B7">
              <w:rPr>
                <w:rFonts w:ascii="Times New Roman" w:hAnsi="Times New Roman" w:cs="Times New Roman"/>
                <w:i/>
                <w:iCs/>
                <w:sz w:val="24"/>
                <w:szCs w:val="24"/>
              </w:rPr>
              <w:t>arson Product Correlation Between Variables</w:t>
            </w:r>
            <w:r w:rsidR="005F37B7">
              <w:rPr>
                <w:rFonts w:ascii="Times New Roman" w:hAnsi="Times New Roman" w:cs="Times New Roman"/>
                <w:i/>
                <w:iCs/>
                <w:sz w:val="24"/>
                <w:szCs w:val="24"/>
              </w:rPr>
              <w:br/>
            </w:r>
          </w:p>
          <w:tbl>
            <w:tblPr>
              <w:tblStyle w:val="TableGrid"/>
              <w:tblW w:w="5000" w:type="pct"/>
              <w:tblLook w:val="04A0" w:firstRow="1" w:lastRow="0" w:firstColumn="1" w:lastColumn="0" w:noHBand="0" w:noVBand="1"/>
            </w:tblPr>
            <w:tblGrid>
              <w:gridCol w:w="1066"/>
              <w:gridCol w:w="996"/>
              <w:gridCol w:w="1040"/>
              <w:gridCol w:w="966"/>
              <w:gridCol w:w="958"/>
              <w:gridCol w:w="996"/>
              <w:gridCol w:w="996"/>
              <w:gridCol w:w="806"/>
              <w:gridCol w:w="1246"/>
            </w:tblGrid>
            <w:tr w:rsidR="0062528A" w:rsidRPr="00784719" w14:paraId="44E22D19" w14:textId="77777777" w:rsidTr="00511801">
              <w:trPr>
                <w:trHeight w:val="293"/>
              </w:trPr>
              <w:tc>
                <w:tcPr>
                  <w:tcW w:w="572" w:type="pct"/>
                  <w:tcBorders>
                    <w:top w:val="nil"/>
                    <w:left w:val="nil"/>
                    <w:bottom w:val="single" w:sz="4" w:space="0" w:color="auto"/>
                    <w:right w:val="nil"/>
                  </w:tcBorders>
                </w:tcPr>
                <w:p w14:paraId="2FFB8755" w14:textId="77777777" w:rsidR="0062528A" w:rsidRPr="00784719" w:rsidRDefault="0062528A" w:rsidP="00511801">
                  <w:pPr>
                    <w:rPr>
                      <w:rFonts w:ascii="Times New Roman" w:hAnsi="Times New Roman" w:cs="Times New Roman"/>
                      <w:sz w:val="18"/>
                      <w:szCs w:val="18"/>
                    </w:rPr>
                  </w:pPr>
                </w:p>
              </w:tc>
              <w:tc>
                <w:tcPr>
                  <w:tcW w:w="548" w:type="pct"/>
                  <w:tcBorders>
                    <w:top w:val="nil"/>
                    <w:left w:val="nil"/>
                    <w:bottom w:val="single" w:sz="4" w:space="0" w:color="auto"/>
                    <w:right w:val="nil"/>
                  </w:tcBorders>
                </w:tcPr>
                <w:p w14:paraId="5F83895D" w14:textId="77777777" w:rsidR="0062528A" w:rsidRPr="00784719" w:rsidRDefault="0062528A" w:rsidP="00511801">
                  <w:pPr>
                    <w:rPr>
                      <w:rFonts w:ascii="Times New Roman" w:hAnsi="Times New Roman" w:cs="Times New Roman"/>
                      <w:sz w:val="18"/>
                      <w:szCs w:val="18"/>
                    </w:rPr>
                  </w:pPr>
                </w:p>
              </w:tc>
              <w:tc>
                <w:tcPr>
                  <w:tcW w:w="676" w:type="pct"/>
                  <w:tcBorders>
                    <w:top w:val="nil"/>
                    <w:left w:val="nil"/>
                    <w:bottom w:val="single" w:sz="4" w:space="0" w:color="auto"/>
                  </w:tcBorders>
                </w:tcPr>
                <w:p w14:paraId="5439AB8C" w14:textId="77777777" w:rsidR="0062528A" w:rsidRPr="00784719" w:rsidRDefault="0062528A" w:rsidP="00511801">
                  <w:pPr>
                    <w:rPr>
                      <w:rFonts w:ascii="Times New Roman" w:hAnsi="Times New Roman" w:cs="Times New Roman"/>
                      <w:sz w:val="18"/>
                      <w:szCs w:val="18"/>
                    </w:rPr>
                  </w:pPr>
                </w:p>
              </w:tc>
              <w:tc>
                <w:tcPr>
                  <w:tcW w:w="519" w:type="pct"/>
                </w:tcPr>
                <w:p w14:paraId="4376EFE1"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Diagnosis given at evaluation (yes=1; no=2)</w:t>
                  </w:r>
                </w:p>
              </w:tc>
              <w:tc>
                <w:tcPr>
                  <w:tcW w:w="514" w:type="pct"/>
                </w:tcPr>
                <w:p w14:paraId="44DD524B"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Gender</w:t>
                  </w:r>
                </w:p>
                <w:p w14:paraId="79AAF2FD"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(male=1; female=2)</w:t>
                  </w:r>
                </w:p>
              </w:tc>
              <w:tc>
                <w:tcPr>
                  <w:tcW w:w="535" w:type="pct"/>
                </w:tcPr>
                <w:p w14:paraId="2E38DBC2"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Confirmed alcohol exposure</w:t>
                  </w:r>
                </w:p>
                <w:p w14:paraId="56536117"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 xml:space="preserve">(yes=1; no=2) </w:t>
                  </w:r>
                </w:p>
              </w:tc>
              <w:tc>
                <w:tcPr>
                  <w:tcW w:w="535" w:type="pct"/>
                </w:tcPr>
                <w:p w14:paraId="57C0915C"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Confirmed drug exposure</w:t>
                  </w:r>
                </w:p>
                <w:p w14:paraId="119566BE"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(yes=1; no=2)</w:t>
                  </w:r>
                </w:p>
              </w:tc>
              <w:tc>
                <w:tcPr>
                  <w:tcW w:w="433" w:type="pct"/>
                </w:tcPr>
                <w:p w14:paraId="2B934537"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Referral to genetics</w:t>
                  </w:r>
                </w:p>
                <w:p w14:paraId="4BD31FAE"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(yes=1; no=2)</w:t>
                  </w:r>
                </w:p>
              </w:tc>
              <w:tc>
                <w:tcPr>
                  <w:tcW w:w="668" w:type="pct"/>
                </w:tcPr>
                <w:p w14:paraId="7D7321BC"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Chronological age</w:t>
                  </w:r>
                </w:p>
              </w:tc>
            </w:tr>
            <w:tr w:rsidR="0062528A" w:rsidRPr="00784719" w14:paraId="6C474D1B" w14:textId="77777777" w:rsidTr="00511801">
              <w:trPr>
                <w:trHeight w:val="293"/>
              </w:trPr>
              <w:tc>
                <w:tcPr>
                  <w:tcW w:w="572" w:type="pct"/>
                  <w:vMerge w:val="restart"/>
                  <w:tcBorders>
                    <w:top w:val="single" w:sz="4" w:space="0" w:color="auto"/>
                    <w:left w:val="nil"/>
                    <w:right w:val="nil"/>
                  </w:tcBorders>
                </w:tcPr>
                <w:p w14:paraId="33E8DF0A"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Spearman’s rho</w:t>
                  </w:r>
                </w:p>
              </w:tc>
              <w:tc>
                <w:tcPr>
                  <w:tcW w:w="548" w:type="pct"/>
                  <w:vMerge w:val="restart"/>
                  <w:tcBorders>
                    <w:top w:val="single" w:sz="4" w:space="0" w:color="auto"/>
                    <w:left w:val="nil"/>
                  </w:tcBorders>
                </w:tcPr>
                <w:p w14:paraId="07C15D00"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Diagnosis given at evaluation (yes=1; no=2)</w:t>
                  </w:r>
                </w:p>
              </w:tc>
              <w:tc>
                <w:tcPr>
                  <w:tcW w:w="676" w:type="pct"/>
                  <w:tcBorders>
                    <w:top w:val="single" w:sz="4" w:space="0" w:color="auto"/>
                  </w:tcBorders>
                </w:tcPr>
                <w:p w14:paraId="20197EBA"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Correlation Coefficient</w:t>
                  </w:r>
                </w:p>
              </w:tc>
              <w:tc>
                <w:tcPr>
                  <w:tcW w:w="519" w:type="pct"/>
                </w:tcPr>
                <w:p w14:paraId="0D1F621E"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1.000</w:t>
                  </w:r>
                </w:p>
              </w:tc>
              <w:tc>
                <w:tcPr>
                  <w:tcW w:w="514" w:type="pct"/>
                </w:tcPr>
                <w:p w14:paraId="0803C363"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.079</w:t>
                  </w:r>
                </w:p>
              </w:tc>
              <w:tc>
                <w:tcPr>
                  <w:tcW w:w="535" w:type="pct"/>
                </w:tcPr>
                <w:p w14:paraId="136B6012"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.222</w:t>
                  </w:r>
                </w:p>
              </w:tc>
              <w:tc>
                <w:tcPr>
                  <w:tcW w:w="535" w:type="pct"/>
                </w:tcPr>
                <w:p w14:paraId="1951415F"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.164</w:t>
                  </w:r>
                </w:p>
              </w:tc>
              <w:tc>
                <w:tcPr>
                  <w:tcW w:w="433" w:type="pct"/>
                </w:tcPr>
                <w:p w14:paraId="5D45A124"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-.208</w:t>
                  </w:r>
                </w:p>
              </w:tc>
              <w:tc>
                <w:tcPr>
                  <w:tcW w:w="668" w:type="pct"/>
                </w:tcPr>
                <w:p w14:paraId="5343D4CB"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-.445**</w:t>
                  </w:r>
                </w:p>
              </w:tc>
            </w:tr>
            <w:tr w:rsidR="0062528A" w:rsidRPr="00784719" w14:paraId="6EFA5B5A" w14:textId="77777777" w:rsidTr="00511801">
              <w:trPr>
                <w:trHeight w:val="292"/>
              </w:trPr>
              <w:tc>
                <w:tcPr>
                  <w:tcW w:w="572" w:type="pct"/>
                  <w:vMerge/>
                  <w:tcBorders>
                    <w:left w:val="nil"/>
                    <w:right w:val="nil"/>
                  </w:tcBorders>
                </w:tcPr>
                <w:p w14:paraId="0665EB17" w14:textId="77777777" w:rsidR="0062528A" w:rsidRPr="00784719" w:rsidRDefault="0062528A" w:rsidP="00511801">
                  <w:pPr>
                    <w:rPr>
                      <w:rFonts w:ascii="Times New Roman" w:hAnsi="Times New Roman" w:cs="Times New Roman"/>
                      <w:sz w:val="18"/>
                      <w:szCs w:val="18"/>
                    </w:rPr>
                  </w:pPr>
                </w:p>
              </w:tc>
              <w:tc>
                <w:tcPr>
                  <w:tcW w:w="548" w:type="pct"/>
                  <w:vMerge/>
                  <w:tcBorders>
                    <w:left w:val="nil"/>
                  </w:tcBorders>
                </w:tcPr>
                <w:p w14:paraId="0EF88296" w14:textId="77777777" w:rsidR="0062528A" w:rsidRPr="00784719" w:rsidRDefault="0062528A" w:rsidP="00511801">
                  <w:pPr>
                    <w:rPr>
                      <w:rFonts w:ascii="Times New Roman" w:hAnsi="Times New Roman" w:cs="Times New Roman"/>
                      <w:sz w:val="18"/>
                      <w:szCs w:val="18"/>
                    </w:rPr>
                  </w:pPr>
                </w:p>
              </w:tc>
              <w:tc>
                <w:tcPr>
                  <w:tcW w:w="676" w:type="pct"/>
                </w:tcPr>
                <w:p w14:paraId="6EB674EE"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Sig (2-tailed)</w:t>
                  </w:r>
                </w:p>
              </w:tc>
              <w:tc>
                <w:tcPr>
                  <w:tcW w:w="519" w:type="pct"/>
                </w:tcPr>
                <w:p w14:paraId="68B0B064" w14:textId="77777777" w:rsidR="0062528A" w:rsidRPr="00784719" w:rsidRDefault="0062528A" w:rsidP="00511801">
                  <w:pPr>
                    <w:rPr>
                      <w:rFonts w:ascii="Times New Roman" w:hAnsi="Times New Roman" w:cs="Times New Roman"/>
                      <w:sz w:val="18"/>
                      <w:szCs w:val="18"/>
                    </w:rPr>
                  </w:pPr>
                </w:p>
              </w:tc>
              <w:tc>
                <w:tcPr>
                  <w:tcW w:w="514" w:type="pct"/>
                </w:tcPr>
                <w:p w14:paraId="5D6BD5C0"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.494</w:t>
                  </w:r>
                </w:p>
              </w:tc>
              <w:tc>
                <w:tcPr>
                  <w:tcW w:w="535" w:type="pct"/>
                </w:tcPr>
                <w:p w14:paraId="0CF41666"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.053</w:t>
                  </w:r>
                </w:p>
              </w:tc>
              <w:tc>
                <w:tcPr>
                  <w:tcW w:w="535" w:type="pct"/>
                </w:tcPr>
                <w:p w14:paraId="0B0BECE6"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.154</w:t>
                  </w:r>
                </w:p>
              </w:tc>
              <w:tc>
                <w:tcPr>
                  <w:tcW w:w="433" w:type="pct"/>
                </w:tcPr>
                <w:p w14:paraId="638BDC9D"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.069</w:t>
                  </w:r>
                </w:p>
              </w:tc>
              <w:tc>
                <w:tcPr>
                  <w:tcW w:w="668" w:type="pct"/>
                </w:tcPr>
                <w:p w14:paraId="079B618F"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.000</w:t>
                  </w:r>
                </w:p>
              </w:tc>
            </w:tr>
            <w:tr w:rsidR="0062528A" w:rsidRPr="00784719" w14:paraId="55D12117" w14:textId="77777777" w:rsidTr="00511801">
              <w:trPr>
                <w:trHeight w:val="292"/>
              </w:trPr>
              <w:tc>
                <w:tcPr>
                  <w:tcW w:w="572" w:type="pct"/>
                  <w:vMerge/>
                  <w:tcBorders>
                    <w:left w:val="nil"/>
                    <w:bottom w:val="nil"/>
                    <w:right w:val="nil"/>
                  </w:tcBorders>
                </w:tcPr>
                <w:p w14:paraId="158F7293" w14:textId="77777777" w:rsidR="0062528A" w:rsidRPr="00784719" w:rsidRDefault="0062528A" w:rsidP="00511801">
                  <w:pPr>
                    <w:rPr>
                      <w:rFonts w:ascii="Times New Roman" w:hAnsi="Times New Roman" w:cs="Times New Roman"/>
                      <w:sz w:val="18"/>
                      <w:szCs w:val="18"/>
                    </w:rPr>
                  </w:pPr>
                </w:p>
              </w:tc>
              <w:tc>
                <w:tcPr>
                  <w:tcW w:w="548" w:type="pct"/>
                  <w:vMerge/>
                  <w:tcBorders>
                    <w:left w:val="nil"/>
                  </w:tcBorders>
                </w:tcPr>
                <w:p w14:paraId="3B2B3404" w14:textId="77777777" w:rsidR="0062528A" w:rsidRPr="00784719" w:rsidRDefault="0062528A" w:rsidP="00511801">
                  <w:pPr>
                    <w:rPr>
                      <w:rFonts w:ascii="Times New Roman" w:hAnsi="Times New Roman" w:cs="Times New Roman"/>
                      <w:sz w:val="18"/>
                      <w:szCs w:val="18"/>
                    </w:rPr>
                  </w:pPr>
                </w:p>
              </w:tc>
              <w:tc>
                <w:tcPr>
                  <w:tcW w:w="676" w:type="pct"/>
                </w:tcPr>
                <w:p w14:paraId="0377434A"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N</w:t>
                  </w:r>
                </w:p>
              </w:tc>
              <w:tc>
                <w:tcPr>
                  <w:tcW w:w="519" w:type="pct"/>
                </w:tcPr>
                <w:p w14:paraId="115D2C73"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14" w:type="pct"/>
                </w:tcPr>
                <w:p w14:paraId="3E7F04F4"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29EDE1EE"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26012069"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433" w:type="pct"/>
                </w:tcPr>
                <w:p w14:paraId="1445116C"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668" w:type="pct"/>
                </w:tcPr>
                <w:p w14:paraId="38BA1555"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r>
            <w:tr w:rsidR="0062528A" w:rsidRPr="00784719" w14:paraId="5AED9B21" w14:textId="77777777" w:rsidTr="00511801">
              <w:trPr>
                <w:trHeight w:val="220"/>
              </w:trPr>
              <w:tc>
                <w:tcPr>
                  <w:tcW w:w="572" w:type="pct"/>
                  <w:vMerge w:val="restart"/>
                  <w:tcBorders>
                    <w:top w:val="nil"/>
                    <w:left w:val="nil"/>
                    <w:right w:val="nil"/>
                  </w:tcBorders>
                </w:tcPr>
                <w:p w14:paraId="52EF4692" w14:textId="77777777" w:rsidR="0062528A" w:rsidRPr="00784719" w:rsidRDefault="0062528A" w:rsidP="00511801">
                  <w:pPr>
                    <w:rPr>
                      <w:rFonts w:ascii="Times New Roman" w:hAnsi="Times New Roman" w:cs="Times New Roman"/>
                      <w:sz w:val="18"/>
                      <w:szCs w:val="18"/>
                    </w:rPr>
                  </w:pPr>
                </w:p>
              </w:tc>
              <w:tc>
                <w:tcPr>
                  <w:tcW w:w="548" w:type="pct"/>
                  <w:vMerge w:val="restart"/>
                  <w:tcBorders>
                    <w:left w:val="nil"/>
                  </w:tcBorders>
                </w:tcPr>
                <w:p w14:paraId="4073395D"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Gender</w:t>
                  </w:r>
                </w:p>
                <w:p w14:paraId="1F6C74F6"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(male=1; female=2)</w:t>
                  </w:r>
                </w:p>
              </w:tc>
              <w:tc>
                <w:tcPr>
                  <w:tcW w:w="676" w:type="pct"/>
                </w:tcPr>
                <w:p w14:paraId="1ECFC27B"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Correlation Coefficient</w:t>
                  </w:r>
                </w:p>
              </w:tc>
              <w:tc>
                <w:tcPr>
                  <w:tcW w:w="519" w:type="pct"/>
                </w:tcPr>
                <w:p w14:paraId="2364BC9B"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.079</w:t>
                  </w:r>
                </w:p>
              </w:tc>
              <w:tc>
                <w:tcPr>
                  <w:tcW w:w="514" w:type="pct"/>
                </w:tcPr>
                <w:p w14:paraId="6AA44A91"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1.000</w:t>
                  </w:r>
                </w:p>
              </w:tc>
              <w:tc>
                <w:tcPr>
                  <w:tcW w:w="535" w:type="pct"/>
                </w:tcPr>
                <w:p w14:paraId="3BCD88B9"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.028</w:t>
                  </w:r>
                </w:p>
              </w:tc>
              <w:tc>
                <w:tcPr>
                  <w:tcW w:w="535" w:type="pct"/>
                </w:tcPr>
                <w:p w14:paraId="5702F833"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-.128</w:t>
                  </w:r>
                </w:p>
              </w:tc>
              <w:tc>
                <w:tcPr>
                  <w:tcW w:w="433" w:type="pct"/>
                </w:tcPr>
                <w:p w14:paraId="27F891F3"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-.254*</w:t>
                  </w:r>
                </w:p>
              </w:tc>
              <w:tc>
                <w:tcPr>
                  <w:tcW w:w="668" w:type="pct"/>
                </w:tcPr>
                <w:p w14:paraId="0603CD74"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-.084</w:t>
                  </w:r>
                </w:p>
              </w:tc>
            </w:tr>
            <w:tr w:rsidR="0062528A" w:rsidRPr="00784719" w14:paraId="58C1D3AA" w14:textId="77777777" w:rsidTr="00511801">
              <w:trPr>
                <w:trHeight w:val="218"/>
              </w:trPr>
              <w:tc>
                <w:tcPr>
                  <w:tcW w:w="572" w:type="pct"/>
                  <w:vMerge/>
                  <w:tcBorders>
                    <w:left w:val="nil"/>
                    <w:right w:val="nil"/>
                  </w:tcBorders>
                </w:tcPr>
                <w:p w14:paraId="68651F79" w14:textId="77777777" w:rsidR="0062528A" w:rsidRPr="00784719" w:rsidRDefault="0062528A" w:rsidP="00511801">
                  <w:pPr>
                    <w:rPr>
                      <w:rFonts w:ascii="Times New Roman" w:hAnsi="Times New Roman" w:cs="Times New Roman"/>
                      <w:sz w:val="18"/>
                      <w:szCs w:val="18"/>
                    </w:rPr>
                  </w:pPr>
                </w:p>
              </w:tc>
              <w:tc>
                <w:tcPr>
                  <w:tcW w:w="548" w:type="pct"/>
                  <w:vMerge/>
                  <w:tcBorders>
                    <w:left w:val="nil"/>
                  </w:tcBorders>
                </w:tcPr>
                <w:p w14:paraId="0A7540AC" w14:textId="77777777" w:rsidR="0062528A" w:rsidRPr="00784719" w:rsidRDefault="0062528A" w:rsidP="00511801">
                  <w:pPr>
                    <w:rPr>
                      <w:rFonts w:ascii="Times New Roman" w:hAnsi="Times New Roman" w:cs="Times New Roman"/>
                      <w:sz w:val="18"/>
                      <w:szCs w:val="18"/>
                    </w:rPr>
                  </w:pPr>
                </w:p>
              </w:tc>
              <w:tc>
                <w:tcPr>
                  <w:tcW w:w="676" w:type="pct"/>
                </w:tcPr>
                <w:p w14:paraId="4F3EC68C"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Sig (2-tailed)</w:t>
                  </w:r>
                </w:p>
              </w:tc>
              <w:tc>
                <w:tcPr>
                  <w:tcW w:w="519" w:type="pct"/>
                </w:tcPr>
                <w:p w14:paraId="3653CE50"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.494</w:t>
                  </w:r>
                </w:p>
              </w:tc>
              <w:tc>
                <w:tcPr>
                  <w:tcW w:w="514" w:type="pct"/>
                </w:tcPr>
                <w:p w14:paraId="481EAAA7" w14:textId="77777777" w:rsidR="0062528A" w:rsidRPr="00784719" w:rsidRDefault="0062528A" w:rsidP="00511801">
                  <w:pPr>
                    <w:rPr>
                      <w:rFonts w:ascii="Times New Roman" w:hAnsi="Times New Roman" w:cs="Times New Roman"/>
                      <w:sz w:val="18"/>
                      <w:szCs w:val="18"/>
                    </w:rPr>
                  </w:pPr>
                </w:p>
              </w:tc>
              <w:tc>
                <w:tcPr>
                  <w:tcW w:w="535" w:type="pct"/>
                </w:tcPr>
                <w:p w14:paraId="5B85AF78"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.812</w:t>
                  </w:r>
                </w:p>
              </w:tc>
              <w:tc>
                <w:tcPr>
                  <w:tcW w:w="535" w:type="pct"/>
                </w:tcPr>
                <w:p w14:paraId="32A97087"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.267</w:t>
                  </w:r>
                </w:p>
              </w:tc>
              <w:tc>
                <w:tcPr>
                  <w:tcW w:w="433" w:type="pct"/>
                </w:tcPr>
                <w:p w14:paraId="294EAE08"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.026</w:t>
                  </w:r>
                </w:p>
              </w:tc>
              <w:tc>
                <w:tcPr>
                  <w:tcW w:w="668" w:type="pct"/>
                </w:tcPr>
                <w:p w14:paraId="4A772B38"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.467</w:t>
                  </w:r>
                </w:p>
              </w:tc>
            </w:tr>
            <w:tr w:rsidR="0062528A" w:rsidRPr="00784719" w14:paraId="4A2A4FB4" w14:textId="77777777" w:rsidTr="00511801">
              <w:trPr>
                <w:trHeight w:val="218"/>
              </w:trPr>
              <w:tc>
                <w:tcPr>
                  <w:tcW w:w="572" w:type="pct"/>
                  <w:vMerge/>
                  <w:tcBorders>
                    <w:left w:val="nil"/>
                    <w:bottom w:val="nil"/>
                    <w:right w:val="nil"/>
                  </w:tcBorders>
                </w:tcPr>
                <w:p w14:paraId="1EE2162C" w14:textId="77777777" w:rsidR="0062528A" w:rsidRPr="00784719" w:rsidRDefault="0062528A" w:rsidP="00511801">
                  <w:pPr>
                    <w:rPr>
                      <w:rFonts w:ascii="Times New Roman" w:hAnsi="Times New Roman" w:cs="Times New Roman"/>
                      <w:sz w:val="18"/>
                      <w:szCs w:val="18"/>
                    </w:rPr>
                  </w:pPr>
                </w:p>
              </w:tc>
              <w:tc>
                <w:tcPr>
                  <w:tcW w:w="548" w:type="pct"/>
                  <w:vMerge/>
                  <w:tcBorders>
                    <w:left w:val="nil"/>
                  </w:tcBorders>
                </w:tcPr>
                <w:p w14:paraId="627961A9" w14:textId="77777777" w:rsidR="0062528A" w:rsidRPr="00784719" w:rsidRDefault="0062528A" w:rsidP="00511801">
                  <w:pPr>
                    <w:rPr>
                      <w:rFonts w:ascii="Times New Roman" w:hAnsi="Times New Roman" w:cs="Times New Roman"/>
                      <w:sz w:val="18"/>
                      <w:szCs w:val="18"/>
                    </w:rPr>
                  </w:pPr>
                </w:p>
              </w:tc>
              <w:tc>
                <w:tcPr>
                  <w:tcW w:w="676" w:type="pct"/>
                </w:tcPr>
                <w:p w14:paraId="65A47BC4"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N</w:t>
                  </w:r>
                </w:p>
              </w:tc>
              <w:tc>
                <w:tcPr>
                  <w:tcW w:w="519" w:type="pct"/>
                </w:tcPr>
                <w:p w14:paraId="722CF334"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14" w:type="pct"/>
                </w:tcPr>
                <w:p w14:paraId="417B0C66"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28977E4C"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56D4E9E6"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433" w:type="pct"/>
                </w:tcPr>
                <w:p w14:paraId="411DF08D"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668" w:type="pct"/>
                </w:tcPr>
                <w:p w14:paraId="34A21C74"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r>
            <w:tr w:rsidR="0062528A" w:rsidRPr="00784719" w14:paraId="038EB85B" w14:textId="77777777" w:rsidTr="00511801">
              <w:trPr>
                <w:trHeight w:val="365"/>
              </w:trPr>
              <w:tc>
                <w:tcPr>
                  <w:tcW w:w="572" w:type="pct"/>
                  <w:vMerge w:val="restart"/>
                  <w:tcBorders>
                    <w:top w:val="nil"/>
                    <w:left w:val="nil"/>
                    <w:right w:val="nil"/>
                  </w:tcBorders>
                </w:tcPr>
                <w:p w14:paraId="544083C2" w14:textId="77777777" w:rsidR="0062528A" w:rsidRPr="00784719" w:rsidRDefault="0062528A" w:rsidP="00511801">
                  <w:pPr>
                    <w:rPr>
                      <w:rFonts w:ascii="Times New Roman" w:hAnsi="Times New Roman" w:cs="Times New Roman"/>
                      <w:sz w:val="18"/>
                      <w:szCs w:val="18"/>
                    </w:rPr>
                  </w:pPr>
                </w:p>
              </w:tc>
              <w:tc>
                <w:tcPr>
                  <w:tcW w:w="548" w:type="pct"/>
                  <w:vMerge w:val="restart"/>
                  <w:tcBorders>
                    <w:left w:val="nil"/>
                  </w:tcBorders>
                </w:tcPr>
                <w:p w14:paraId="4A0B7B5F"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Confirmed alcohol exposure</w:t>
                  </w:r>
                </w:p>
                <w:p w14:paraId="3588D9CF"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(yes=1; no=2)</w:t>
                  </w:r>
                </w:p>
              </w:tc>
              <w:tc>
                <w:tcPr>
                  <w:tcW w:w="676" w:type="pct"/>
                </w:tcPr>
                <w:p w14:paraId="5E189C0F"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Correlation Coefficient</w:t>
                  </w:r>
                </w:p>
              </w:tc>
              <w:tc>
                <w:tcPr>
                  <w:tcW w:w="519" w:type="pct"/>
                </w:tcPr>
                <w:p w14:paraId="7127DEB0"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.222</w:t>
                  </w:r>
                </w:p>
              </w:tc>
              <w:tc>
                <w:tcPr>
                  <w:tcW w:w="514" w:type="pct"/>
                </w:tcPr>
                <w:p w14:paraId="2196EDB7"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.028</w:t>
                  </w:r>
                </w:p>
              </w:tc>
              <w:tc>
                <w:tcPr>
                  <w:tcW w:w="535" w:type="pct"/>
                </w:tcPr>
                <w:p w14:paraId="362A4EFC"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1.000</w:t>
                  </w:r>
                </w:p>
              </w:tc>
              <w:tc>
                <w:tcPr>
                  <w:tcW w:w="535" w:type="pct"/>
                </w:tcPr>
                <w:p w14:paraId="1024FAA8"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.651**</w:t>
                  </w:r>
                </w:p>
              </w:tc>
              <w:tc>
                <w:tcPr>
                  <w:tcW w:w="433" w:type="pct"/>
                </w:tcPr>
                <w:p w14:paraId="75B0C217"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-.169</w:t>
                  </w:r>
                </w:p>
              </w:tc>
              <w:tc>
                <w:tcPr>
                  <w:tcW w:w="668" w:type="pct"/>
                </w:tcPr>
                <w:p w14:paraId="1912DC00"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-.249*</w:t>
                  </w:r>
                </w:p>
              </w:tc>
            </w:tr>
            <w:tr w:rsidR="0062528A" w:rsidRPr="00784719" w14:paraId="708AEFE9" w14:textId="77777777" w:rsidTr="00511801">
              <w:trPr>
                <w:trHeight w:val="363"/>
              </w:trPr>
              <w:tc>
                <w:tcPr>
                  <w:tcW w:w="572" w:type="pct"/>
                  <w:vMerge/>
                  <w:tcBorders>
                    <w:left w:val="nil"/>
                    <w:right w:val="nil"/>
                  </w:tcBorders>
                </w:tcPr>
                <w:p w14:paraId="1543320F" w14:textId="77777777" w:rsidR="0062528A" w:rsidRPr="00784719" w:rsidRDefault="0062528A" w:rsidP="00511801">
                  <w:pPr>
                    <w:rPr>
                      <w:rFonts w:ascii="Times New Roman" w:hAnsi="Times New Roman" w:cs="Times New Roman"/>
                      <w:sz w:val="18"/>
                      <w:szCs w:val="18"/>
                    </w:rPr>
                  </w:pPr>
                </w:p>
              </w:tc>
              <w:tc>
                <w:tcPr>
                  <w:tcW w:w="548" w:type="pct"/>
                  <w:vMerge/>
                  <w:tcBorders>
                    <w:left w:val="nil"/>
                  </w:tcBorders>
                </w:tcPr>
                <w:p w14:paraId="4DE4295D" w14:textId="77777777" w:rsidR="0062528A" w:rsidRPr="00784719" w:rsidRDefault="0062528A" w:rsidP="00511801">
                  <w:pPr>
                    <w:rPr>
                      <w:rFonts w:ascii="Times New Roman" w:hAnsi="Times New Roman" w:cs="Times New Roman"/>
                      <w:sz w:val="18"/>
                      <w:szCs w:val="18"/>
                    </w:rPr>
                  </w:pPr>
                </w:p>
              </w:tc>
              <w:tc>
                <w:tcPr>
                  <w:tcW w:w="676" w:type="pct"/>
                </w:tcPr>
                <w:p w14:paraId="4513AC4D"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Sig (2-tailed)</w:t>
                  </w:r>
                </w:p>
              </w:tc>
              <w:tc>
                <w:tcPr>
                  <w:tcW w:w="519" w:type="pct"/>
                </w:tcPr>
                <w:p w14:paraId="1EC5E5CF"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.053</w:t>
                  </w:r>
                </w:p>
              </w:tc>
              <w:tc>
                <w:tcPr>
                  <w:tcW w:w="514" w:type="pct"/>
                </w:tcPr>
                <w:p w14:paraId="290DF5E4"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.812</w:t>
                  </w:r>
                </w:p>
              </w:tc>
              <w:tc>
                <w:tcPr>
                  <w:tcW w:w="535" w:type="pct"/>
                </w:tcPr>
                <w:p w14:paraId="179EEE71" w14:textId="77777777" w:rsidR="0062528A" w:rsidRPr="00784719" w:rsidRDefault="0062528A" w:rsidP="00511801">
                  <w:pPr>
                    <w:rPr>
                      <w:rFonts w:ascii="Times New Roman" w:hAnsi="Times New Roman" w:cs="Times New Roman"/>
                      <w:sz w:val="18"/>
                      <w:szCs w:val="18"/>
                    </w:rPr>
                  </w:pPr>
                </w:p>
              </w:tc>
              <w:tc>
                <w:tcPr>
                  <w:tcW w:w="535" w:type="pct"/>
                </w:tcPr>
                <w:p w14:paraId="472E2AE2"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&lt;.001</w:t>
                  </w:r>
                </w:p>
              </w:tc>
              <w:tc>
                <w:tcPr>
                  <w:tcW w:w="433" w:type="pct"/>
                </w:tcPr>
                <w:p w14:paraId="51300507"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.143</w:t>
                  </w:r>
                </w:p>
              </w:tc>
              <w:tc>
                <w:tcPr>
                  <w:tcW w:w="668" w:type="pct"/>
                </w:tcPr>
                <w:p w14:paraId="3A3DD115"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.029</w:t>
                  </w:r>
                </w:p>
              </w:tc>
            </w:tr>
            <w:tr w:rsidR="0062528A" w:rsidRPr="00784719" w14:paraId="1E8E2E57" w14:textId="77777777" w:rsidTr="00511801">
              <w:trPr>
                <w:trHeight w:val="363"/>
              </w:trPr>
              <w:tc>
                <w:tcPr>
                  <w:tcW w:w="572" w:type="pct"/>
                  <w:vMerge/>
                  <w:tcBorders>
                    <w:left w:val="nil"/>
                    <w:bottom w:val="nil"/>
                    <w:right w:val="nil"/>
                  </w:tcBorders>
                </w:tcPr>
                <w:p w14:paraId="1D22C352" w14:textId="77777777" w:rsidR="0062528A" w:rsidRPr="00784719" w:rsidRDefault="0062528A" w:rsidP="00511801">
                  <w:pPr>
                    <w:rPr>
                      <w:rFonts w:ascii="Times New Roman" w:hAnsi="Times New Roman" w:cs="Times New Roman"/>
                      <w:sz w:val="18"/>
                      <w:szCs w:val="18"/>
                    </w:rPr>
                  </w:pPr>
                </w:p>
              </w:tc>
              <w:tc>
                <w:tcPr>
                  <w:tcW w:w="548" w:type="pct"/>
                  <w:vMerge/>
                  <w:tcBorders>
                    <w:left w:val="nil"/>
                  </w:tcBorders>
                </w:tcPr>
                <w:p w14:paraId="59ABD610" w14:textId="77777777" w:rsidR="0062528A" w:rsidRPr="00784719" w:rsidRDefault="0062528A" w:rsidP="00511801">
                  <w:pPr>
                    <w:rPr>
                      <w:rFonts w:ascii="Times New Roman" w:hAnsi="Times New Roman" w:cs="Times New Roman"/>
                      <w:sz w:val="18"/>
                      <w:szCs w:val="18"/>
                    </w:rPr>
                  </w:pPr>
                </w:p>
              </w:tc>
              <w:tc>
                <w:tcPr>
                  <w:tcW w:w="676" w:type="pct"/>
                </w:tcPr>
                <w:p w14:paraId="30400346"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N</w:t>
                  </w:r>
                </w:p>
              </w:tc>
              <w:tc>
                <w:tcPr>
                  <w:tcW w:w="519" w:type="pct"/>
                </w:tcPr>
                <w:p w14:paraId="22CA57A4"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14" w:type="pct"/>
                </w:tcPr>
                <w:p w14:paraId="479105CB"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21982712"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651FADB6"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433" w:type="pct"/>
                </w:tcPr>
                <w:p w14:paraId="0B580699"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668" w:type="pct"/>
                </w:tcPr>
                <w:p w14:paraId="4B01C923"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r>
            <w:tr w:rsidR="0062528A" w:rsidRPr="00784719" w14:paraId="6B7D1830" w14:textId="77777777" w:rsidTr="00511801">
              <w:trPr>
                <w:trHeight w:val="365"/>
              </w:trPr>
              <w:tc>
                <w:tcPr>
                  <w:tcW w:w="572" w:type="pct"/>
                  <w:vMerge w:val="restart"/>
                  <w:tcBorders>
                    <w:top w:val="nil"/>
                    <w:left w:val="nil"/>
                    <w:right w:val="nil"/>
                  </w:tcBorders>
                </w:tcPr>
                <w:p w14:paraId="4F94854A" w14:textId="77777777" w:rsidR="0062528A" w:rsidRPr="00784719" w:rsidRDefault="0062528A" w:rsidP="00511801">
                  <w:pPr>
                    <w:rPr>
                      <w:rFonts w:ascii="Times New Roman" w:hAnsi="Times New Roman" w:cs="Times New Roman"/>
                      <w:sz w:val="18"/>
                      <w:szCs w:val="18"/>
                    </w:rPr>
                  </w:pPr>
                </w:p>
              </w:tc>
              <w:tc>
                <w:tcPr>
                  <w:tcW w:w="548" w:type="pct"/>
                  <w:vMerge w:val="restart"/>
                  <w:tcBorders>
                    <w:left w:val="nil"/>
                  </w:tcBorders>
                </w:tcPr>
                <w:p w14:paraId="0FCA3EE1"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Confirmed drug exposure</w:t>
                  </w:r>
                </w:p>
                <w:p w14:paraId="5CDAECCB"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(yes=1; no=2)</w:t>
                  </w:r>
                </w:p>
              </w:tc>
              <w:tc>
                <w:tcPr>
                  <w:tcW w:w="676" w:type="pct"/>
                </w:tcPr>
                <w:p w14:paraId="55BB0448"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Correlation Coefficient</w:t>
                  </w:r>
                </w:p>
              </w:tc>
              <w:tc>
                <w:tcPr>
                  <w:tcW w:w="519" w:type="pct"/>
                </w:tcPr>
                <w:p w14:paraId="02A02483"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.164</w:t>
                  </w:r>
                </w:p>
              </w:tc>
              <w:tc>
                <w:tcPr>
                  <w:tcW w:w="514" w:type="pct"/>
                </w:tcPr>
                <w:p w14:paraId="54A56DB6"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-.128</w:t>
                  </w:r>
                </w:p>
              </w:tc>
              <w:tc>
                <w:tcPr>
                  <w:tcW w:w="535" w:type="pct"/>
                </w:tcPr>
                <w:p w14:paraId="696EBAD4"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.651**</w:t>
                  </w:r>
                </w:p>
              </w:tc>
              <w:tc>
                <w:tcPr>
                  <w:tcW w:w="535" w:type="pct"/>
                </w:tcPr>
                <w:p w14:paraId="58025472"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1.000</w:t>
                  </w:r>
                </w:p>
              </w:tc>
              <w:tc>
                <w:tcPr>
                  <w:tcW w:w="433" w:type="pct"/>
                </w:tcPr>
                <w:p w14:paraId="6C6E75CC"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.005</w:t>
                  </w:r>
                </w:p>
              </w:tc>
              <w:tc>
                <w:tcPr>
                  <w:tcW w:w="668" w:type="pct"/>
                </w:tcPr>
                <w:p w14:paraId="64AA11E3"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.005</w:t>
                  </w:r>
                </w:p>
              </w:tc>
            </w:tr>
            <w:tr w:rsidR="0062528A" w:rsidRPr="00784719" w14:paraId="2431907C" w14:textId="77777777" w:rsidTr="00511801">
              <w:trPr>
                <w:trHeight w:val="363"/>
              </w:trPr>
              <w:tc>
                <w:tcPr>
                  <w:tcW w:w="572" w:type="pct"/>
                  <w:vMerge/>
                  <w:tcBorders>
                    <w:left w:val="nil"/>
                    <w:right w:val="nil"/>
                  </w:tcBorders>
                </w:tcPr>
                <w:p w14:paraId="3915EAC4" w14:textId="77777777" w:rsidR="0062528A" w:rsidRPr="00784719" w:rsidRDefault="0062528A" w:rsidP="00511801">
                  <w:pPr>
                    <w:rPr>
                      <w:rFonts w:ascii="Times New Roman" w:hAnsi="Times New Roman" w:cs="Times New Roman"/>
                      <w:sz w:val="18"/>
                      <w:szCs w:val="18"/>
                    </w:rPr>
                  </w:pPr>
                </w:p>
              </w:tc>
              <w:tc>
                <w:tcPr>
                  <w:tcW w:w="548" w:type="pct"/>
                  <w:vMerge/>
                  <w:tcBorders>
                    <w:left w:val="nil"/>
                  </w:tcBorders>
                </w:tcPr>
                <w:p w14:paraId="18DC2876" w14:textId="77777777" w:rsidR="0062528A" w:rsidRPr="00784719" w:rsidRDefault="0062528A" w:rsidP="00511801">
                  <w:pPr>
                    <w:rPr>
                      <w:rFonts w:ascii="Times New Roman" w:hAnsi="Times New Roman" w:cs="Times New Roman"/>
                      <w:sz w:val="18"/>
                      <w:szCs w:val="18"/>
                    </w:rPr>
                  </w:pPr>
                </w:p>
              </w:tc>
              <w:tc>
                <w:tcPr>
                  <w:tcW w:w="676" w:type="pct"/>
                </w:tcPr>
                <w:p w14:paraId="510906BD"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Sig (2-tailed)</w:t>
                  </w:r>
                </w:p>
              </w:tc>
              <w:tc>
                <w:tcPr>
                  <w:tcW w:w="519" w:type="pct"/>
                </w:tcPr>
                <w:p w14:paraId="625472A0"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.154</w:t>
                  </w:r>
                </w:p>
              </w:tc>
              <w:tc>
                <w:tcPr>
                  <w:tcW w:w="514" w:type="pct"/>
                </w:tcPr>
                <w:p w14:paraId="5CBE4887"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.267</w:t>
                  </w:r>
                </w:p>
              </w:tc>
              <w:tc>
                <w:tcPr>
                  <w:tcW w:w="535" w:type="pct"/>
                </w:tcPr>
                <w:p w14:paraId="0AF14C2C"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&lt;.001</w:t>
                  </w:r>
                </w:p>
              </w:tc>
              <w:tc>
                <w:tcPr>
                  <w:tcW w:w="535" w:type="pct"/>
                </w:tcPr>
                <w:p w14:paraId="6603E164" w14:textId="77777777" w:rsidR="0062528A" w:rsidRPr="00784719" w:rsidRDefault="0062528A" w:rsidP="00511801">
                  <w:pPr>
                    <w:rPr>
                      <w:rFonts w:ascii="Times New Roman" w:hAnsi="Times New Roman" w:cs="Times New Roman"/>
                      <w:sz w:val="18"/>
                      <w:szCs w:val="18"/>
                    </w:rPr>
                  </w:pPr>
                </w:p>
              </w:tc>
              <w:tc>
                <w:tcPr>
                  <w:tcW w:w="433" w:type="pct"/>
                </w:tcPr>
                <w:p w14:paraId="3DEA9604"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.965</w:t>
                  </w:r>
                </w:p>
              </w:tc>
              <w:tc>
                <w:tcPr>
                  <w:tcW w:w="668" w:type="pct"/>
                </w:tcPr>
                <w:p w14:paraId="6B89E560"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.967</w:t>
                  </w:r>
                </w:p>
              </w:tc>
            </w:tr>
            <w:tr w:rsidR="0062528A" w:rsidRPr="00784719" w14:paraId="4D3BBFA0" w14:textId="77777777" w:rsidTr="00511801">
              <w:trPr>
                <w:trHeight w:val="363"/>
              </w:trPr>
              <w:tc>
                <w:tcPr>
                  <w:tcW w:w="572" w:type="pct"/>
                  <w:vMerge/>
                  <w:tcBorders>
                    <w:left w:val="nil"/>
                    <w:bottom w:val="nil"/>
                    <w:right w:val="nil"/>
                  </w:tcBorders>
                </w:tcPr>
                <w:p w14:paraId="1C809B39" w14:textId="77777777" w:rsidR="0062528A" w:rsidRPr="00784719" w:rsidRDefault="0062528A" w:rsidP="00511801">
                  <w:pPr>
                    <w:rPr>
                      <w:rFonts w:ascii="Times New Roman" w:hAnsi="Times New Roman" w:cs="Times New Roman"/>
                      <w:sz w:val="18"/>
                      <w:szCs w:val="18"/>
                    </w:rPr>
                  </w:pPr>
                </w:p>
              </w:tc>
              <w:tc>
                <w:tcPr>
                  <w:tcW w:w="548" w:type="pct"/>
                  <w:vMerge/>
                  <w:tcBorders>
                    <w:left w:val="nil"/>
                  </w:tcBorders>
                </w:tcPr>
                <w:p w14:paraId="0CCF99B3" w14:textId="77777777" w:rsidR="0062528A" w:rsidRPr="00784719" w:rsidRDefault="0062528A" w:rsidP="00511801">
                  <w:pPr>
                    <w:rPr>
                      <w:rFonts w:ascii="Times New Roman" w:hAnsi="Times New Roman" w:cs="Times New Roman"/>
                      <w:sz w:val="18"/>
                      <w:szCs w:val="18"/>
                    </w:rPr>
                  </w:pPr>
                </w:p>
              </w:tc>
              <w:tc>
                <w:tcPr>
                  <w:tcW w:w="676" w:type="pct"/>
                </w:tcPr>
                <w:p w14:paraId="13482027"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N</w:t>
                  </w:r>
                </w:p>
              </w:tc>
              <w:tc>
                <w:tcPr>
                  <w:tcW w:w="519" w:type="pct"/>
                </w:tcPr>
                <w:p w14:paraId="51062D84"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14" w:type="pct"/>
                </w:tcPr>
                <w:p w14:paraId="750D0761"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0FE0F9B2"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44D7D30B"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433" w:type="pct"/>
                </w:tcPr>
                <w:p w14:paraId="26C81B5F"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668" w:type="pct"/>
                </w:tcPr>
                <w:p w14:paraId="65CEE533"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r>
            <w:tr w:rsidR="0062528A" w:rsidRPr="00784719" w14:paraId="775573C8" w14:textId="77777777" w:rsidTr="00511801">
              <w:trPr>
                <w:trHeight w:val="293"/>
              </w:trPr>
              <w:tc>
                <w:tcPr>
                  <w:tcW w:w="572" w:type="pct"/>
                  <w:vMerge w:val="restart"/>
                  <w:tcBorders>
                    <w:top w:val="nil"/>
                    <w:left w:val="nil"/>
                    <w:right w:val="nil"/>
                  </w:tcBorders>
                </w:tcPr>
                <w:p w14:paraId="08333EC3" w14:textId="77777777" w:rsidR="0062528A" w:rsidRPr="00784719" w:rsidRDefault="0062528A" w:rsidP="00511801">
                  <w:pPr>
                    <w:rPr>
                      <w:rFonts w:ascii="Times New Roman" w:hAnsi="Times New Roman" w:cs="Times New Roman"/>
                      <w:sz w:val="18"/>
                      <w:szCs w:val="18"/>
                    </w:rPr>
                  </w:pPr>
                </w:p>
              </w:tc>
              <w:tc>
                <w:tcPr>
                  <w:tcW w:w="548" w:type="pct"/>
                  <w:vMerge w:val="restart"/>
                  <w:tcBorders>
                    <w:left w:val="nil"/>
                  </w:tcBorders>
                </w:tcPr>
                <w:p w14:paraId="30FB65F4"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Referral to genetics</w:t>
                  </w:r>
                </w:p>
                <w:p w14:paraId="37831470"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(yes=1; no=2)</w:t>
                  </w:r>
                </w:p>
              </w:tc>
              <w:tc>
                <w:tcPr>
                  <w:tcW w:w="676" w:type="pct"/>
                </w:tcPr>
                <w:p w14:paraId="3AB3DB83"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Correlation Coefficient</w:t>
                  </w:r>
                </w:p>
              </w:tc>
              <w:tc>
                <w:tcPr>
                  <w:tcW w:w="519" w:type="pct"/>
                </w:tcPr>
                <w:p w14:paraId="20F90DBA"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-.208</w:t>
                  </w:r>
                </w:p>
              </w:tc>
              <w:tc>
                <w:tcPr>
                  <w:tcW w:w="514" w:type="pct"/>
                </w:tcPr>
                <w:p w14:paraId="0D9069F2"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-.254*</w:t>
                  </w:r>
                </w:p>
              </w:tc>
              <w:tc>
                <w:tcPr>
                  <w:tcW w:w="535" w:type="pct"/>
                </w:tcPr>
                <w:p w14:paraId="783D266D"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-.169</w:t>
                  </w:r>
                </w:p>
              </w:tc>
              <w:tc>
                <w:tcPr>
                  <w:tcW w:w="535" w:type="pct"/>
                </w:tcPr>
                <w:p w14:paraId="5CF828AB"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.005</w:t>
                  </w:r>
                </w:p>
              </w:tc>
              <w:tc>
                <w:tcPr>
                  <w:tcW w:w="433" w:type="pct"/>
                </w:tcPr>
                <w:p w14:paraId="373D18BD"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1.000</w:t>
                  </w:r>
                </w:p>
              </w:tc>
              <w:tc>
                <w:tcPr>
                  <w:tcW w:w="668" w:type="pct"/>
                </w:tcPr>
                <w:p w14:paraId="3DEAE4B9"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.172</w:t>
                  </w:r>
                </w:p>
              </w:tc>
            </w:tr>
            <w:tr w:rsidR="0062528A" w:rsidRPr="00784719" w14:paraId="20DD8E1D" w14:textId="77777777" w:rsidTr="00511801">
              <w:trPr>
                <w:trHeight w:val="292"/>
              </w:trPr>
              <w:tc>
                <w:tcPr>
                  <w:tcW w:w="572" w:type="pct"/>
                  <w:vMerge/>
                  <w:tcBorders>
                    <w:left w:val="nil"/>
                    <w:right w:val="nil"/>
                  </w:tcBorders>
                </w:tcPr>
                <w:p w14:paraId="2447B30C" w14:textId="77777777" w:rsidR="0062528A" w:rsidRPr="00784719" w:rsidRDefault="0062528A" w:rsidP="00511801">
                  <w:pPr>
                    <w:rPr>
                      <w:rFonts w:ascii="Times New Roman" w:hAnsi="Times New Roman" w:cs="Times New Roman"/>
                      <w:sz w:val="18"/>
                      <w:szCs w:val="18"/>
                    </w:rPr>
                  </w:pPr>
                </w:p>
              </w:tc>
              <w:tc>
                <w:tcPr>
                  <w:tcW w:w="548" w:type="pct"/>
                  <w:vMerge/>
                  <w:tcBorders>
                    <w:left w:val="nil"/>
                  </w:tcBorders>
                </w:tcPr>
                <w:p w14:paraId="6DACA2B5" w14:textId="77777777" w:rsidR="0062528A" w:rsidRPr="00784719" w:rsidRDefault="0062528A" w:rsidP="00511801">
                  <w:pPr>
                    <w:rPr>
                      <w:rFonts w:ascii="Times New Roman" w:hAnsi="Times New Roman" w:cs="Times New Roman"/>
                      <w:sz w:val="18"/>
                      <w:szCs w:val="18"/>
                    </w:rPr>
                  </w:pPr>
                </w:p>
              </w:tc>
              <w:tc>
                <w:tcPr>
                  <w:tcW w:w="676" w:type="pct"/>
                </w:tcPr>
                <w:p w14:paraId="12EAE14F"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Sig (2-tailed)</w:t>
                  </w:r>
                </w:p>
              </w:tc>
              <w:tc>
                <w:tcPr>
                  <w:tcW w:w="519" w:type="pct"/>
                </w:tcPr>
                <w:p w14:paraId="57D2485F"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.069</w:t>
                  </w:r>
                </w:p>
              </w:tc>
              <w:tc>
                <w:tcPr>
                  <w:tcW w:w="514" w:type="pct"/>
                </w:tcPr>
                <w:p w14:paraId="392F58F3"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.026</w:t>
                  </w:r>
                </w:p>
              </w:tc>
              <w:tc>
                <w:tcPr>
                  <w:tcW w:w="535" w:type="pct"/>
                </w:tcPr>
                <w:p w14:paraId="68744674"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.143</w:t>
                  </w:r>
                </w:p>
              </w:tc>
              <w:tc>
                <w:tcPr>
                  <w:tcW w:w="535" w:type="pct"/>
                </w:tcPr>
                <w:p w14:paraId="4FBFCAB9"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.965</w:t>
                  </w:r>
                </w:p>
              </w:tc>
              <w:tc>
                <w:tcPr>
                  <w:tcW w:w="433" w:type="pct"/>
                </w:tcPr>
                <w:p w14:paraId="0BD0FB58" w14:textId="77777777" w:rsidR="0062528A" w:rsidRPr="00784719" w:rsidRDefault="0062528A" w:rsidP="00511801">
                  <w:pPr>
                    <w:rPr>
                      <w:rFonts w:ascii="Times New Roman" w:hAnsi="Times New Roman" w:cs="Times New Roman"/>
                      <w:sz w:val="18"/>
                      <w:szCs w:val="18"/>
                    </w:rPr>
                  </w:pPr>
                </w:p>
              </w:tc>
              <w:tc>
                <w:tcPr>
                  <w:tcW w:w="668" w:type="pct"/>
                </w:tcPr>
                <w:p w14:paraId="6B47142A"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.134</w:t>
                  </w:r>
                </w:p>
              </w:tc>
            </w:tr>
            <w:tr w:rsidR="0062528A" w:rsidRPr="00784719" w14:paraId="10FFAE9A" w14:textId="77777777" w:rsidTr="00511801">
              <w:trPr>
                <w:trHeight w:val="292"/>
              </w:trPr>
              <w:tc>
                <w:tcPr>
                  <w:tcW w:w="572" w:type="pct"/>
                  <w:vMerge/>
                  <w:tcBorders>
                    <w:left w:val="nil"/>
                    <w:bottom w:val="nil"/>
                    <w:right w:val="nil"/>
                  </w:tcBorders>
                </w:tcPr>
                <w:p w14:paraId="6EA1B5F0" w14:textId="77777777" w:rsidR="0062528A" w:rsidRPr="00784719" w:rsidRDefault="0062528A" w:rsidP="00511801">
                  <w:pPr>
                    <w:rPr>
                      <w:rFonts w:ascii="Times New Roman" w:hAnsi="Times New Roman" w:cs="Times New Roman"/>
                      <w:sz w:val="18"/>
                      <w:szCs w:val="18"/>
                    </w:rPr>
                  </w:pPr>
                </w:p>
              </w:tc>
              <w:tc>
                <w:tcPr>
                  <w:tcW w:w="548" w:type="pct"/>
                  <w:vMerge/>
                  <w:tcBorders>
                    <w:left w:val="nil"/>
                  </w:tcBorders>
                </w:tcPr>
                <w:p w14:paraId="4CCDBC5C" w14:textId="77777777" w:rsidR="0062528A" w:rsidRPr="00784719" w:rsidRDefault="0062528A" w:rsidP="00511801">
                  <w:pPr>
                    <w:rPr>
                      <w:rFonts w:ascii="Times New Roman" w:hAnsi="Times New Roman" w:cs="Times New Roman"/>
                      <w:sz w:val="18"/>
                      <w:szCs w:val="18"/>
                    </w:rPr>
                  </w:pPr>
                </w:p>
              </w:tc>
              <w:tc>
                <w:tcPr>
                  <w:tcW w:w="676" w:type="pct"/>
                </w:tcPr>
                <w:p w14:paraId="0BBFFF26"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N</w:t>
                  </w:r>
                </w:p>
              </w:tc>
              <w:tc>
                <w:tcPr>
                  <w:tcW w:w="519" w:type="pct"/>
                </w:tcPr>
                <w:p w14:paraId="5FAC1398"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14" w:type="pct"/>
                </w:tcPr>
                <w:p w14:paraId="6778904C"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1744AAE6"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405CF3A0"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433" w:type="pct"/>
                </w:tcPr>
                <w:p w14:paraId="48FB1232"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668" w:type="pct"/>
                </w:tcPr>
                <w:p w14:paraId="62F5F688"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r>
            <w:tr w:rsidR="0062528A" w:rsidRPr="00784719" w14:paraId="1E82096E" w14:textId="77777777" w:rsidTr="00511801">
              <w:trPr>
                <w:trHeight w:val="145"/>
              </w:trPr>
              <w:tc>
                <w:tcPr>
                  <w:tcW w:w="572" w:type="pct"/>
                  <w:vMerge w:val="restart"/>
                  <w:tcBorders>
                    <w:top w:val="nil"/>
                    <w:left w:val="nil"/>
                    <w:right w:val="nil"/>
                  </w:tcBorders>
                </w:tcPr>
                <w:p w14:paraId="3BDA12B4" w14:textId="77777777" w:rsidR="0062528A" w:rsidRPr="00784719" w:rsidRDefault="0062528A" w:rsidP="00511801">
                  <w:pPr>
                    <w:rPr>
                      <w:rFonts w:ascii="Times New Roman" w:hAnsi="Times New Roman" w:cs="Times New Roman"/>
                      <w:sz w:val="18"/>
                      <w:szCs w:val="18"/>
                    </w:rPr>
                  </w:pPr>
                </w:p>
              </w:tc>
              <w:tc>
                <w:tcPr>
                  <w:tcW w:w="548" w:type="pct"/>
                  <w:vMerge w:val="restart"/>
                  <w:tcBorders>
                    <w:left w:val="nil"/>
                  </w:tcBorders>
                </w:tcPr>
                <w:p w14:paraId="380C452E"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Chrono</w:t>
                  </w:r>
                  <w:r>
                    <w:rPr>
                      <w:rFonts w:ascii="Times New Roman" w:hAnsi="Times New Roman" w:cs="Times New Roman"/>
                      <w:sz w:val="18"/>
                      <w:szCs w:val="18"/>
                    </w:rPr>
                    <w:t>.</w:t>
                  </w:r>
                  <w:r w:rsidRPr="00784719">
                    <w:rPr>
                      <w:rFonts w:ascii="Times New Roman" w:hAnsi="Times New Roman" w:cs="Times New Roman"/>
                      <w:sz w:val="18"/>
                      <w:szCs w:val="18"/>
                    </w:rPr>
                    <w:t xml:space="preserve"> age</w:t>
                  </w:r>
                </w:p>
              </w:tc>
              <w:tc>
                <w:tcPr>
                  <w:tcW w:w="676" w:type="pct"/>
                </w:tcPr>
                <w:p w14:paraId="49C6BB9E"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Correlation Coefficient</w:t>
                  </w:r>
                </w:p>
              </w:tc>
              <w:tc>
                <w:tcPr>
                  <w:tcW w:w="519" w:type="pct"/>
                </w:tcPr>
                <w:p w14:paraId="6818884B"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-.445**</w:t>
                  </w:r>
                </w:p>
              </w:tc>
              <w:tc>
                <w:tcPr>
                  <w:tcW w:w="514" w:type="pct"/>
                </w:tcPr>
                <w:p w14:paraId="103194AB"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-.084</w:t>
                  </w:r>
                </w:p>
              </w:tc>
              <w:tc>
                <w:tcPr>
                  <w:tcW w:w="535" w:type="pct"/>
                </w:tcPr>
                <w:p w14:paraId="59211B6B"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-.249*</w:t>
                  </w:r>
                </w:p>
              </w:tc>
              <w:tc>
                <w:tcPr>
                  <w:tcW w:w="535" w:type="pct"/>
                </w:tcPr>
                <w:p w14:paraId="6625B3A8"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.005</w:t>
                  </w:r>
                </w:p>
              </w:tc>
              <w:tc>
                <w:tcPr>
                  <w:tcW w:w="433" w:type="pct"/>
                </w:tcPr>
                <w:p w14:paraId="4F6A216D"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.172</w:t>
                  </w:r>
                </w:p>
              </w:tc>
              <w:tc>
                <w:tcPr>
                  <w:tcW w:w="668" w:type="pct"/>
                </w:tcPr>
                <w:p w14:paraId="359133EE"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1.000</w:t>
                  </w:r>
                </w:p>
              </w:tc>
            </w:tr>
            <w:tr w:rsidR="0062528A" w:rsidRPr="00784719" w14:paraId="224B95F1" w14:textId="77777777" w:rsidTr="00511801">
              <w:trPr>
                <w:trHeight w:val="145"/>
              </w:trPr>
              <w:tc>
                <w:tcPr>
                  <w:tcW w:w="572" w:type="pct"/>
                  <w:vMerge/>
                  <w:tcBorders>
                    <w:left w:val="nil"/>
                    <w:right w:val="nil"/>
                  </w:tcBorders>
                </w:tcPr>
                <w:p w14:paraId="7DB07DE0" w14:textId="77777777" w:rsidR="0062528A" w:rsidRPr="00784719" w:rsidRDefault="0062528A" w:rsidP="00511801">
                  <w:pPr>
                    <w:rPr>
                      <w:rFonts w:ascii="Times New Roman" w:hAnsi="Times New Roman" w:cs="Times New Roman"/>
                      <w:sz w:val="18"/>
                      <w:szCs w:val="18"/>
                    </w:rPr>
                  </w:pPr>
                </w:p>
              </w:tc>
              <w:tc>
                <w:tcPr>
                  <w:tcW w:w="548" w:type="pct"/>
                  <w:vMerge/>
                  <w:tcBorders>
                    <w:left w:val="nil"/>
                  </w:tcBorders>
                </w:tcPr>
                <w:p w14:paraId="76D9EE10" w14:textId="77777777" w:rsidR="0062528A" w:rsidRPr="00784719" w:rsidRDefault="0062528A" w:rsidP="00511801">
                  <w:pPr>
                    <w:rPr>
                      <w:rFonts w:ascii="Times New Roman" w:hAnsi="Times New Roman" w:cs="Times New Roman"/>
                      <w:sz w:val="18"/>
                      <w:szCs w:val="18"/>
                    </w:rPr>
                  </w:pPr>
                </w:p>
              </w:tc>
              <w:tc>
                <w:tcPr>
                  <w:tcW w:w="676" w:type="pct"/>
                </w:tcPr>
                <w:p w14:paraId="218EC709"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Sig (2-tailed)</w:t>
                  </w:r>
                </w:p>
              </w:tc>
              <w:tc>
                <w:tcPr>
                  <w:tcW w:w="519" w:type="pct"/>
                </w:tcPr>
                <w:p w14:paraId="7D767B68"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.000</w:t>
                  </w:r>
                </w:p>
              </w:tc>
              <w:tc>
                <w:tcPr>
                  <w:tcW w:w="514" w:type="pct"/>
                </w:tcPr>
                <w:p w14:paraId="45694E80"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.467</w:t>
                  </w:r>
                </w:p>
              </w:tc>
              <w:tc>
                <w:tcPr>
                  <w:tcW w:w="535" w:type="pct"/>
                </w:tcPr>
                <w:p w14:paraId="73F558F1"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.029</w:t>
                  </w:r>
                </w:p>
              </w:tc>
              <w:tc>
                <w:tcPr>
                  <w:tcW w:w="535" w:type="pct"/>
                </w:tcPr>
                <w:p w14:paraId="26620A97"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.967</w:t>
                  </w:r>
                </w:p>
              </w:tc>
              <w:tc>
                <w:tcPr>
                  <w:tcW w:w="433" w:type="pct"/>
                </w:tcPr>
                <w:p w14:paraId="1A3D1235"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.134</w:t>
                  </w:r>
                </w:p>
              </w:tc>
              <w:tc>
                <w:tcPr>
                  <w:tcW w:w="668" w:type="pct"/>
                </w:tcPr>
                <w:p w14:paraId="33F03C71" w14:textId="77777777" w:rsidR="0062528A" w:rsidRPr="00784719" w:rsidRDefault="0062528A" w:rsidP="00511801">
                  <w:pPr>
                    <w:rPr>
                      <w:rFonts w:ascii="Times New Roman" w:hAnsi="Times New Roman" w:cs="Times New Roman"/>
                      <w:sz w:val="18"/>
                      <w:szCs w:val="18"/>
                    </w:rPr>
                  </w:pPr>
                </w:p>
              </w:tc>
            </w:tr>
            <w:tr w:rsidR="0062528A" w:rsidRPr="00784719" w14:paraId="3426A670" w14:textId="77777777" w:rsidTr="00511801">
              <w:trPr>
                <w:trHeight w:val="145"/>
              </w:trPr>
              <w:tc>
                <w:tcPr>
                  <w:tcW w:w="572" w:type="pct"/>
                  <w:vMerge/>
                  <w:tcBorders>
                    <w:left w:val="nil"/>
                    <w:bottom w:val="nil"/>
                    <w:right w:val="nil"/>
                  </w:tcBorders>
                </w:tcPr>
                <w:p w14:paraId="48C3FEB0" w14:textId="77777777" w:rsidR="0062528A" w:rsidRPr="00784719" w:rsidRDefault="0062528A" w:rsidP="00511801">
                  <w:pPr>
                    <w:rPr>
                      <w:rFonts w:ascii="Times New Roman" w:hAnsi="Times New Roman" w:cs="Times New Roman"/>
                      <w:sz w:val="18"/>
                      <w:szCs w:val="18"/>
                    </w:rPr>
                  </w:pPr>
                </w:p>
              </w:tc>
              <w:tc>
                <w:tcPr>
                  <w:tcW w:w="548" w:type="pct"/>
                  <w:vMerge/>
                  <w:tcBorders>
                    <w:left w:val="nil"/>
                  </w:tcBorders>
                </w:tcPr>
                <w:p w14:paraId="220E925C" w14:textId="77777777" w:rsidR="0062528A" w:rsidRPr="00784719" w:rsidRDefault="0062528A" w:rsidP="00511801">
                  <w:pPr>
                    <w:rPr>
                      <w:rFonts w:ascii="Times New Roman" w:hAnsi="Times New Roman" w:cs="Times New Roman"/>
                      <w:sz w:val="18"/>
                      <w:szCs w:val="18"/>
                    </w:rPr>
                  </w:pPr>
                </w:p>
              </w:tc>
              <w:tc>
                <w:tcPr>
                  <w:tcW w:w="676" w:type="pct"/>
                </w:tcPr>
                <w:p w14:paraId="2411A6E5"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N</w:t>
                  </w:r>
                </w:p>
              </w:tc>
              <w:tc>
                <w:tcPr>
                  <w:tcW w:w="519" w:type="pct"/>
                </w:tcPr>
                <w:p w14:paraId="543C6001"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14" w:type="pct"/>
                </w:tcPr>
                <w:p w14:paraId="2B3BE4C6"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33C454AD"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535" w:type="pct"/>
                </w:tcPr>
                <w:p w14:paraId="0DF13509"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433" w:type="pct"/>
                </w:tcPr>
                <w:p w14:paraId="798C58FB"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c>
                <w:tcPr>
                  <w:tcW w:w="668" w:type="pct"/>
                </w:tcPr>
                <w:p w14:paraId="183E96AA" w14:textId="77777777" w:rsidR="0062528A" w:rsidRPr="00784719" w:rsidRDefault="0062528A" w:rsidP="00511801">
                  <w:pPr>
                    <w:rPr>
                      <w:rFonts w:ascii="Times New Roman" w:hAnsi="Times New Roman" w:cs="Times New Roman"/>
                      <w:sz w:val="18"/>
                      <w:szCs w:val="18"/>
                    </w:rPr>
                  </w:pPr>
                  <w:r w:rsidRPr="00784719">
                    <w:rPr>
                      <w:rFonts w:ascii="Times New Roman" w:hAnsi="Times New Roman" w:cs="Times New Roman"/>
                      <w:sz w:val="18"/>
                      <w:szCs w:val="18"/>
                    </w:rPr>
                    <w:t>77</w:t>
                  </w:r>
                </w:p>
              </w:tc>
            </w:tr>
          </w:tbl>
          <w:p w14:paraId="49CBF6BF"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 Correlation is significant at the 0.01 level (2-tailed)</w:t>
            </w:r>
          </w:p>
          <w:p w14:paraId="30C5D1FB" w14:textId="77777777" w:rsidR="0062528A" w:rsidRDefault="0062528A" w:rsidP="00511801">
            <w:pPr>
              <w:rPr>
                <w:rFonts w:ascii="Times New Roman" w:hAnsi="Times New Roman" w:cs="Times New Roman"/>
                <w:sz w:val="24"/>
                <w:szCs w:val="24"/>
              </w:rPr>
            </w:pPr>
            <w:r>
              <w:rPr>
                <w:rFonts w:ascii="Times New Roman" w:hAnsi="Times New Roman" w:cs="Times New Roman"/>
                <w:sz w:val="24"/>
                <w:szCs w:val="24"/>
              </w:rPr>
              <w:t>*Correlation is significant at the 0.05 level (2-tailed)</w:t>
            </w:r>
          </w:p>
        </w:tc>
      </w:tr>
    </w:tbl>
    <w:p w14:paraId="40156711" w14:textId="77777777" w:rsidR="0062528A" w:rsidRDefault="0062528A" w:rsidP="0062528A">
      <w:pPr>
        <w:spacing w:line="480" w:lineRule="auto"/>
      </w:pPr>
      <w:r>
        <w:t xml:space="preserve">(Alternate text description for Table 3: This table shows the Pearson product </w:t>
      </w:r>
      <w:r>
        <w:lastRenderedPageBreak/>
        <w:t xml:space="preserve">correlation between variables. There are 6 rows and 6 corresponding columns with the following areas intersecting: </w:t>
      </w:r>
      <w:r w:rsidRPr="003721AD">
        <w:t>Diagnosis given at evaluation (yes=1; no=2)</w:t>
      </w:r>
      <w:r>
        <w:t xml:space="preserve">, </w:t>
      </w:r>
      <w:r w:rsidRPr="003721AD">
        <w:t>Gender</w:t>
      </w:r>
      <w:r>
        <w:t xml:space="preserve"> </w:t>
      </w:r>
      <w:r w:rsidRPr="003721AD">
        <w:t>(male=1; female=2)</w:t>
      </w:r>
      <w:r>
        <w:t xml:space="preserve">, </w:t>
      </w:r>
      <w:r w:rsidRPr="003721AD">
        <w:t>Confirmed alcohol exposure</w:t>
      </w:r>
      <w:r>
        <w:t xml:space="preserve"> </w:t>
      </w:r>
      <w:r w:rsidRPr="003721AD">
        <w:t>(yes=1; no=2)</w:t>
      </w:r>
      <w:r>
        <w:t>,</w:t>
      </w:r>
      <w:r w:rsidRPr="003721AD">
        <w:t xml:space="preserve"> Confirmed drug exposure</w:t>
      </w:r>
      <w:r>
        <w:t xml:space="preserve"> </w:t>
      </w:r>
      <w:r w:rsidRPr="003721AD">
        <w:t>(yes=1; no=2)</w:t>
      </w:r>
      <w:r>
        <w:t xml:space="preserve">, </w:t>
      </w:r>
      <w:r w:rsidRPr="003721AD">
        <w:t>Referral to genetics</w:t>
      </w:r>
      <w:r>
        <w:t xml:space="preserve"> </w:t>
      </w:r>
      <w:r w:rsidRPr="003721AD">
        <w:t>(yes=1; no=2)</w:t>
      </w:r>
      <w:r>
        <w:t xml:space="preserve">, and </w:t>
      </w:r>
      <w:r w:rsidRPr="003721AD">
        <w:t>Chronological age</w:t>
      </w:r>
      <w:r>
        <w:t>)</w:t>
      </w:r>
    </w:p>
    <w:p w14:paraId="101FD18B" w14:textId="77777777" w:rsidR="0062528A" w:rsidRDefault="0062528A" w:rsidP="0062528A">
      <w:pPr>
        <w:spacing w:line="480" w:lineRule="auto"/>
        <w:jc w:val="center"/>
        <w:rPr>
          <w:b/>
          <w:bCs/>
        </w:rPr>
      </w:pPr>
      <w:r w:rsidRPr="004254C6">
        <w:rPr>
          <w:b/>
          <w:bCs/>
        </w:rPr>
        <w:t>Discussion</w:t>
      </w:r>
    </w:p>
    <w:p w14:paraId="2FB67739" w14:textId="2F4536B9" w:rsidR="0062528A" w:rsidRDefault="0062528A" w:rsidP="0062528A">
      <w:pPr>
        <w:spacing w:line="480" w:lineRule="auto"/>
      </w:pPr>
      <w:r>
        <w:t>There is ample evidence that individuals with FASD, including ND-PAE, have difficulty in areas like cognition, executive function, social skills, and more</w:t>
      </w:r>
      <w:r w:rsidRPr="0042365F">
        <w:t xml:space="preserve"> (</w:t>
      </w:r>
      <w:proofErr w:type="spellStart"/>
      <w:r w:rsidRPr="0042365F">
        <w:t>Paolozza</w:t>
      </w:r>
      <w:proofErr w:type="spellEnd"/>
      <w:r w:rsidRPr="0042365F">
        <w:t xml:space="preserve"> et al., 2014; </w:t>
      </w:r>
      <w:r>
        <w:t xml:space="preserve">Popova et al., 2014; </w:t>
      </w:r>
      <w:r w:rsidRPr="0042365F">
        <w:t xml:space="preserve">Thorne, 2017). </w:t>
      </w:r>
      <w:r>
        <w:t>The trends identified from the SDRC data may be helpful when adding parameters to an existing diagnostic clinic, especially if referral numbers and wait lists are high. For example, the confirmation of alcohol exposure was significantly correlated with a participant receiving a diagnosis of ND-PAE. By adding questions confirming alcohol exposure to an intake form or during a case-history interview, this may increase the likelihood of an individual exposed to alcohol receiving a diagnosis of ND-PAE, and subsequently receiving services for areas of impairment.</w:t>
      </w:r>
    </w:p>
    <w:p w14:paraId="06088241" w14:textId="77777777" w:rsidR="0062528A" w:rsidRDefault="0062528A" w:rsidP="0062528A">
      <w:pPr>
        <w:spacing w:line="480" w:lineRule="auto"/>
      </w:pPr>
      <w:r>
        <w:t xml:space="preserve">FASD is a condition that affects an enormous population of the world, including 1 in 20 first graders in America (Lange et al., 2013; May et al., 2018; Lange et al., 2019). Unfortunately, the </w:t>
      </w:r>
      <w:proofErr w:type="gramStart"/>
      <w:r>
        <w:t>amount</w:t>
      </w:r>
      <w:proofErr w:type="gramEnd"/>
      <w:r>
        <w:t xml:space="preserve"> of resources available for individuals and families with FASD is lacking and the resources that are available are incredibly hard to access </w:t>
      </w:r>
      <w:r w:rsidRPr="0042365F">
        <w:t>(Rasmussen, et al., 2010; McLaughlin</w:t>
      </w:r>
      <w:r>
        <w:t xml:space="preserve"> et al.</w:t>
      </w:r>
      <w:r w:rsidRPr="0042365F">
        <w:t>, 2019</w:t>
      </w:r>
      <w:r>
        <w:t>; Cleveland et al., 2020</w:t>
      </w:r>
      <w:r w:rsidRPr="0042365F">
        <w:t>).</w:t>
      </w:r>
      <w:r>
        <w:t xml:space="preserve"> The diagnostic method that SDRC uses may assist other clinics in addressing the access to care for individuals and families with FASD.   </w:t>
      </w:r>
    </w:p>
    <w:p w14:paraId="0F79A21A" w14:textId="00D77973" w:rsidR="0062528A" w:rsidRDefault="0062528A" w:rsidP="0062528A">
      <w:pPr>
        <w:spacing w:line="480" w:lineRule="auto"/>
      </w:pPr>
      <w:r>
        <w:t xml:space="preserve">There are potential limitations that clinics may encounter when attempting to implement the SDRC method. </w:t>
      </w:r>
      <w:r w:rsidRPr="006964AA">
        <w:t xml:space="preserve">An interdisciplinary team of professionals is most appropriate </w:t>
      </w:r>
      <w:r w:rsidRPr="006964AA">
        <w:lastRenderedPageBreak/>
        <w:t xml:space="preserve">when assessing for ND-PAE, considering the variety of symptomology and criteria associated with the condition. For example, in SDRC a speech-language pathologist </w:t>
      </w:r>
      <w:proofErr w:type="gramStart"/>
      <w:r w:rsidRPr="006964AA">
        <w:t>is able to</w:t>
      </w:r>
      <w:proofErr w:type="gramEnd"/>
      <w:r w:rsidRPr="006964AA">
        <w:t xml:space="preserve"> assess for communication and social impairment, a social worker is able to assess for mood disorders, a nurse practitioner is able to assess the physicality of the patient, and a genetic counselor is able to rule out the possibility of undiagnosed genetic conditions that may explain a combination of symptoms better than an ND-PAE diagnosis.</w:t>
      </w:r>
      <w:r w:rsidRPr="00ED65CD">
        <w:t xml:space="preserve"> </w:t>
      </w:r>
      <w:r w:rsidRPr="00154433">
        <w:t>However, the professions involved in SDRC do not define the ideal professional mix for a clinic.</w:t>
      </w:r>
      <w:r w:rsidR="005F37B7">
        <w:t xml:space="preserve"> </w:t>
      </w:r>
      <w:r w:rsidRPr="00154433">
        <w:t>These are the professions that are currently available for that team.</w:t>
      </w:r>
      <w:r w:rsidR="005F37B7">
        <w:t xml:space="preserve"> </w:t>
      </w:r>
      <w:r w:rsidRPr="00154433">
        <w:t>In previous semesters, a psychologist and an occupational therapist have been team members and were quite useful.</w:t>
      </w:r>
    </w:p>
    <w:p w14:paraId="484C728C" w14:textId="77777777" w:rsidR="0062528A" w:rsidRDefault="0062528A" w:rsidP="0062528A">
      <w:pPr>
        <w:spacing w:line="480" w:lineRule="auto"/>
      </w:pPr>
      <w:r>
        <w:t xml:space="preserve">Other clinics may not have access to this type of team. However, that should not discourage a clinic from attempting to identify areas of impairment. The DSM-5 diagnostic criteria for ND-PAE can be utilized as a pathway to resources (APA, 2013). If a clinic has access to only a speech-language pathologist, for example, they can confirm or rule out the presence of a) executive dysfunction, b) communication impairment, and/or c) social impairment. Subsequently, the SLP can refer for further testing by a professional qualified to identify a mood or impulsivity impairment. </w:t>
      </w:r>
    </w:p>
    <w:p w14:paraId="37D33A0E" w14:textId="77777777" w:rsidR="0062528A" w:rsidRDefault="0062528A" w:rsidP="0062528A">
      <w:pPr>
        <w:spacing w:line="480" w:lineRule="auto"/>
      </w:pPr>
      <w:r>
        <w:t>FASD remains an underdiagnosed and underserved population of individuals (</w:t>
      </w:r>
      <w:proofErr w:type="spellStart"/>
      <w:r w:rsidRPr="0042365F">
        <w:t>Paolozza</w:t>
      </w:r>
      <w:proofErr w:type="spellEnd"/>
      <w:r w:rsidRPr="0042365F">
        <w:t xml:space="preserve"> et al., 2014; </w:t>
      </w:r>
      <w:r>
        <w:t xml:space="preserve">Popova et al., 2016; </w:t>
      </w:r>
      <w:proofErr w:type="spellStart"/>
      <w:r>
        <w:t>Petrenko</w:t>
      </w:r>
      <w:proofErr w:type="spellEnd"/>
      <w:r>
        <w:t xml:space="preserve"> &amp; Alto, 2017; </w:t>
      </w:r>
      <w:r w:rsidRPr="0042365F">
        <w:t>Thorne, 2017</w:t>
      </w:r>
      <w:r>
        <w:t xml:space="preserve">). By utilizing existing resources, individuals with FASD may be identified earlier and may have access to resources sooner, making the opportunity for success more achievable. </w:t>
      </w:r>
    </w:p>
    <w:p w14:paraId="3D66F2B8" w14:textId="77777777" w:rsidR="0062528A" w:rsidRDefault="0062528A" w:rsidP="0062528A">
      <w:r>
        <w:br w:type="page"/>
      </w:r>
    </w:p>
    <w:p w14:paraId="317A4932" w14:textId="77777777" w:rsidR="0062528A" w:rsidRPr="00EE138E" w:rsidRDefault="0062528A" w:rsidP="0062528A">
      <w:pPr>
        <w:spacing w:after="0" w:line="480" w:lineRule="auto"/>
        <w:ind w:left="720" w:hanging="720"/>
        <w:jc w:val="center"/>
        <w:rPr>
          <w:b/>
        </w:rPr>
      </w:pPr>
      <w:r w:rsidRPr="00EE138E">
        <w:rPr>
          <w:b/>
        </w:rPr>
        <w:lastRenderedPageBreak/>
        <w:t>References</w:t>
      </w:r>
    </w:p>
    <w:p w14:paraId="3B56E086" w14:textId="77777777" w:rsidR="0062528A" w:rsidRDefault="0062528A" w:rsidP="0062528A">
      <w:pPr>
        <w:pStyle w:val="paragraph"/>
        <w:spacing w:before="0" w:beforeAutospacing="0" w:after="0" w:afterAutospacing="0" w:line="480" w:lineRule="auto"/>
        <w:ind w:left="720" w:hanging="720"/>
        <w:textAlignment w:val="baseline"/>
        <w:rPr>
          <w:color w:val="222222"/>
          <w:shd w:val="clear" w:color="auto" w:fill="FFFFFF"/>
        </w:rPr>
      </w:pPr>
      <w:r w:rsidRPr="009E12F9">
        <w:rPr>
          <w:color w:val="222222"/>
          <w:shd w:val="clear" w:color="auto" w:fill="FFFFFF"/>
        </w:rPr>
        <w:t xml:space="preserve">American Psychiatric Association (APA). (2013). </w:t>
      </w:r>
      <w:r w:rsidRPr="009E12F9">
        <w:rPr>
          <w:i/>
          <w:color w:val="222222"/>
          <w:shd w:val="clear" w:color="auto" w:fill="FFFFFF"/>
        </w:rPr>
        <w:t xml:space="preserve">Diagnostic and statistical manual of mental disorders, fifth edition </w:t>
      </w:r>
      <w:r w:rsidRPr="009E12F9">
        <w:rPr>
          <w:color w:val="222222"/>
          <w:shd w:val="clear" w:color="auto" w:fill="FFFFFF"/>
        </w:rPr>
        <w:t>(DSM-5®). American Psychiatric Pub.</w:t>
      </w:r>
    </w:p>
    <w:p w14:paraId="0EF05AF6" w14:textId="77777777" w:rsidR="0062528A" w:rsidRPr="00ED65CD" w:rsidRDefault="0062528A" w:rsidP="0062528A">
      <w:pPr>
        <w:pStyle w:val="paragraph"/>
        <w:spacing w:before="0" w:beforeAutospacing="0" w:after="0" w:afterAutospacing="0" w:line="480" w:lineRule="auto"/>
        <w:ind w:left="720" w:hanging="720"/>
        <w:textAlignment w:val="baseline"/>
        <w:rPr>
          <w:color w:val="222222"/>
          <w:shd w:val="clear" w:color="auto" w:fill="FFFFFF"/>
        </w:rPr>
      </w:pPr>
      <w:r w:rsidRPr="00ED65CD">
        <w:rPr>
          <w:color w:val="222222"/>
          <w:shd w:val="clear" w:color="auto" w:fill="FFFFFF"/>
        </w:rPr>
        <w:t xml:space="preserve">Astley, S. J., Aylward, E. H., Olson, H. C., Kerns, K., Brooks, A., Coggins, T. E., Davies, J., Dorn, S., </w:t>
      </w:r>
      <w:proofErr w:type="spellStart"/>
      <w:r w:rsidRPr="00ED65CD">
        <w:rPr>
          <w:color w:val="222222"/>
          <w:shd w:val="clear" w:color="auto" w:fill="FFFFFF"/>
        </w:rPr>
        <w:t>Gendler</w:t>
      </w:r>
      <w:proofErr w:type="spellEnd"/>
      <w:r w:rsidRPr="00ED65CD">
        <w:rPr>
          <w:color w:val="222222"/>
          <w:shd w:val="clear" w:color="auto" w:fill="FFFFFF"/>
        </w:rPr>
        <w:t xml:space="preserve">, B., </w:t>
      </w:r>
      <w:proofErr w:type="spellStart"/>
      <w:r w:rsidRPr="00ED65CD">
        <w:rPr>
          <w:color w:val="222222"/>
          <w:shd w:val="clear" w:color="auto" w:fill="FFFFFF"/>
        </w:rPr>
        <w:t>Jirikowic</w:t>
      </w:r>
      <w:proofErr w:type="spellEnd"/>
      <w:r w:rsidRPr="00ED65CD">
        <w:rPr>
          <w:color w:val="222222"/>
          <w:shd w:val="clear" w:color="auto" w:fill="FFFFFF"/>
        </w:rPr>
        <w:t xml:space="preserve">, T., &amp; </w:t>
      </w:r>
      <w:proofErr w:type="spellStart"/>
      <w:r w:rsidRPr="00ED65CD">
        <w:rPr>
          <w:color w:val="222222"/>
          <w:shd w:val="clear" w:color="auto" w:fill="FFFFFF"/>
        </w:rPr>
        <w:t>Kraegel</w:t>
      </w:r>
      <w:proofErr w:type="spellEnd"/>
      <w:r w:rsidRPr="00ED65CD">
        <w:rPr>
          <w:color w:val="222222"/>
          <w:shd w:val="clear" w:color="auto" w:fill="FFFFFF"/>
        </w:rPr>
        <w:t>, P. (2009). Magnetic resonance imaging outcomes from a comprehensive magnetic resonance study of children with fetal alcohol spectrum disorders. </w:t>
      </w:r>
      <w:r w:rsidRPr="00ED65CD">
        <w:rPr>
          <w:i/>
          <w:iCs/>
          <w:color w:val="222222"/>
          <w:shd w:val="clear" w:color="auto" w:fill="FFFFFF"/>
        </w:rPr>
        <w:t>Alcoholism: Clinical and Experimental Research</w:t>
      </w:r>
      <w:r w:rsidRPr="00ED65CD">
        <w:rPr>
          <w:color w:val="222222"/>
          <w:shd w:val="clear" w:color="auto" w:fill="FFFFFF"/>
        </w:rPr>
        <w:t>, </w:t>
      </w:r>
      <w:r w:rsidRPr="00ED65CD">
        <w:rPr>
          <w:i/>
          <w:iCs/>
          <w:color w:val="222222"/>
          <w:shd w:val="clear" w:color="auto" w:fill="FFFFFF"/>
        </w:rPr>
        <w:t>33</w:t>
      </w:r>
      <w:r w:rsidRPr="00ED65CD">
        <w:rPr>
          <w:color w:val="222222"/>
          <w:shd w:val="clear" w:color="auto" w:fill="FFFFFF"/>
        </w:rPr>
        <w:t>(10), 1671-1689.</w:t>
      </w:r>
    </w:p>
    <w:p w14:paraId="35DE4085" w14:textId="77777777" w:rsidR="0062528A" w:rsidRPr="00ED65CD" w:rsidRDefault="0062528A" w:rsidP="0062528A">
      <w:pPr>
        <w:pStyle w:val="paragraph"/>
        <w:spacing w:after="0" w:line="480" w:lineRule="auto"/>
        <w:ind w:left="720" w:hanging="720"/>
        <w:textAlignment w:val="baseline"/>
        <w:rPr>
          <w:color w:val="222222"/>
          <w:shd w:val="clear" w:color="auto" w:fill="FFFFFF"/>
        </w:rPr>
      </w:pPr>
      <w:r w:rsidRPr="00ED65CD">
        <w:rPr>
          <w:color w:val="222222"/>
          <w:shd w:val="clear" w:color="auto" w:fill="FFFFFF"/>
        </w:rPr>
        <w:t xml:space="preserve">Carmichael-Olson, H. </w:t>
      </w:r>
      <w:proofErr w:type="spellStart"/>
      <w:r w:rsidRPr="00ED65CD">
        <w:rPr>
          <w:color w:val="222222"/>
          <w:shd w:val="clear" w:color="auto" w:fill="FFFFFF"/>
        </w:rPr>
        <w:t>Ohlemiller</w:t>
      </w:r>
      <w:proofErr w:type="spellEnd"/>
      <w:r w:rsidRPr="00ED65CD">
        <w:rPr>
          <w:color w:val="222222"/>
          <w:shd w:val="clear" w:color="auto" w:fill="FFFFFF"/>
        </w:rPr>
        <w:t xml:space="preserve">, M., O’Connor, M., Brown, C., Morris, C., &amp; </w:t>
      </w:r>
      <w:proofErr w:type="spellStart"/>
      <w:r w:rsidRPr="00ED65CD">
        <w:rPr>
          <w:color w:val="222222"/>
          <w:shd w:val="clear" w:color="auto" w:fill="FFFFFF"/>
        </w:rPr>
        <w:t>Damus</w:t>
      </w:r>
      <w:proofErr w:type="spellEnd"/>
      <w:r w:rsidRPr="00ED65CD">
        <w:rPr>
          <w:color w:val="222222"/>
          <w:shd w:val="clear" w:color="auto" w:fill="FFFFFF"/>
        </w:rPr>
        <w:t xml:space="preserve">, K. (2009). </w:t>
      </w:r>
      <w:r w:rsidRPr="00ED65CD">
        <w:rPr>
          <w:i/>
          <w:color w:val="222222"/>
          <w:shd w:val="clear" w:color="auto" w:fill="FFFFFF"/>
        </w:rPr>
        <w:t>A Call to Action; Advancing Essential Services and Research on Fetal Alcohol Spectrum Disorders</w:t>
      </w:r>
      <w:r w:rsidRPr="00ED65CD">
        <w:rPr>
          <w:color w:val="222222"/>
          <w:shd w:val="clear" w:color="auto" w:fill="FFFFFF"/>
        </w:rPr>
        <w:t>.</w:t>
      </w:r>
      <w:r w:rsidRPr="00873D9C">
        <w:rPr>
          <w:color w:val="222222"/>
          <w:shd w:val="clear" w:color="auto" w:fill="FFFFFF"/>
        </w:rPr>
        <w:t xml:space="preserve"> A Report of the National Task Force on Fetal Alcohol Syndrome and Fetal Alcohol Effect</w:t>
      </w:r>
      <w:r w:rsidRPr="00ED65CD">
        <w:rPr>
          <w:color w:val="222222"/>
          <w:shd w:val="clear" w:color="auto" w:fill="FFFFFF"/>
        </w:rPr>
        <w:t xml:space="preserve">. </w:t>
      </w:r>
    </w:p>
    <w:p w14:paraId="2A5E0E27" w14:textId="77777777" w:rsidR="0062528A" w:rsidRPr="00ED65CD" w:rsidRDefault="0062528A" w:rsidP="0062528A">
      <w:pPr>
        <w:pStyle w:val="paragraph"/>
        <w:spacing w:before="0" w:beforeAutospacing="0" w:after="0" w:afterAutospacing="0" w:line="480" w:lineRule="auto"/>
        <w:ind w:left="720" w:hanging="720"/>
        <w:textAlignment w:val="baseline"/>
        <w:rPr>
          <w:color w:val="222222"/>
          <w:shd w:val="clear" w:color="auto" w:fill="FFFFFF"/>
        </w:rPr>
      </w:pPr>
      <w:r w:rsidRPr="00ED65CD">
        <w:rPr>
          <w:color w:val="222222"/>
          <w:shd w:val="clear" w:color="auto" w:fill="FFFFFF"/>
        </w:rPr>
        <w:t xml:space="preserve">Cleveland, E., Deere, D., </w:t>
      </w:r>
      <w:proofErr w:type="spellStart"/>
      <w:r w:rsidRPr="00ED65CD">
        <w:rPr>
          <w:color w:val="222222"/>
          <w:shd w:val="clear" w:color="auto" w:fill="FFFFFF"/>
        </w:rPr>
        <w:t>Kyzer</w:t>
      </w:r>
      <w:proofErr w:type="spellEnd"/>
      <w:r w:rsidRPr="00ED65CD">
        <w:rPr>
          <w:color w:val="222222"/>
          <w:shd w:val="clear" w:color="auto" w:fill="FFFFFF"/>
        </w:rPr>
        <w:t xml:space="preserve">, A., &amp; Smith, S. (2020). Fetal alcohol spectrum disorders advocacy in Arkansas. </w:t>
      </w:r>
      <w:r w:rsidRPr="00ED65CD">
        <w:rPr>
          <w:i/>
          <w:color w:val="222222"/>
          <w:shd w:val="clear" w:color="auto" w:fill="FFFFFF"/>
        </w:rPr>
        <w:t>Journal of Arkansas Medical Society. May 2020 Issue</w:t>
      </w:r>
      <w:r w:rsidRPr="00ED65CD">
        <w:rPr>
          <w:color w:val="222222"/>
          <w:shd w:val="clear" w:color="auto" w:fill="FFFFFF"/>
        </w:rPr>
        <w:t>.</w:t>
      </w:r>
    </w:p>
    <w:p w14:paraId="7551ADDB" w14:textId="77777777" w:rsidR="0062528A" w:rsidRPr="00ED65CD" w:rsidRDefault="0062528A" w:rsidP="0062528A">
      <w:pPr>
        <w:pStyle w:val="paragraph"/>
        <w:spacing w:before="0" w:beforeAutospacing="0" w:after="0" w:afterAutospacing="0" w:line="480" w:lineRule="auto"/>
        <w:ind w:left="720" w:hanging="720"/>
        <w:textAlignment w:val="baseline"/>
        <w:rPr>
          <w:color w:val="222222"/>
          <w:shd w:val="clear" w:color="auto" w:fill="FFFFFF"/>
        </w:rPr>
      </w:pPr>
      <w:r w:rsidRPr="00ED65CD">
        <w:rPr>
          <w:color w:val="222222"/>
          <w:shd w:val="clear" w:color="auto" w:fill="FFFFFF"/>
        </w:rPr>
        <w:t xml:space="preserve">Cook, J. L., Green, C. R., Lilley, C. M., Anderson, S. M., Baldwin, M. E., </w:t>
      </w:r>
      <w:proofErr w:type="spellStart"/>
      <w:r w:rsidRPr="00ED65CD">
        <w:rPr>
          <w:color w:val="222222"/>
          <w:shd w:val="clear" w:color="auto" w:fill="FFFFFF"/>
        </w:rPr>
        <w:t>Chudley</w:t>
      </w:r>
      <w:proofErr w:type="spellEnd"/>
      <w:r w:rsidRPr="00ED65CD">
        <w:rPr>
          <w:color w:val="222222"/>
          <w:shd w:val="clear" w:color="auto" w:fill="FFFFFF"/>
        </w:rPr>
        <w:t xml:space="preserve">, A. E., </w:t>
      </w:r>
      <w:proofErr w:type="spellStart"/>
      <w:r w:rsidRPr="00ED65CD">
        <w:rPr>
          <w:color w:val="222222"/>
          <w:shd w:val="clear" w:color="auto" w:fill="FFFFFF"/>
        </w:rPr>
        <w:t>Conry</w:t>
      </w:r>
      <w:proofErr w:type="spellEnd"/>
      <w:r w:rsidRPr="00ED65CD">
        <w:rPr>
          <w:color w:val="222222"/>
          <w:shd w:val="clear" w:color="auto" w:fill="FFFFFF"/>
        </w:rPr>
        <w:t xml:space="preserve">, J.L., LeBlanc, N., </w:t>
      </w:r>
      <w:proofErr w:type="spellStart"/>
      <w:r w:rsidRPr="00ED65CD">
        <w:rPr>
          <w:color w:val="222222"/>
          <w:shd w:val="clear" w:color="auto" w:fill="FFFFFF"/>
        </w:rPr>
        <w:t>Loock</w:t>
      </w:r>
      <w:proofErr w:type="spellEnd"/>
      <w:r w:rsidRPr="00ED65CD">
        <w:rPr>
          <w:color w:val="222222"/>
          <w:shd w:val="clear" w:color="auto" w:fill="FFFFFF"/>
        </w:rPr>
        <w:t xml:space="preserve">, C.A., </w:t>
      </w:r>
      <w:proofErr w:type="spellStart"/>
      <w:r w:rsidRPr="00ED65CD">
        <w:rPr>
          <w:color w:val="222222"/>
          <w:shd w:val="clear" w:color="auto" w:fill="FFFFFF"/>
        </w:rPr>
        <w:t>Lutke</w:t>
      </w:r>
      <w:proofErr w:type="spellEnd"/>
      <w:r w:rsidRPr="00ED65CD">
        <w:rPr>
          <w:color w:val="222222"/>
          <w:shd w:val="clear" w:color="auto" w:fill="FFFFFF"/>
        </w:rPr>
        <w:t xml:space="preserve">, J., &amp; Mallon, B. F. (2016). Fetal alcohol spectrum disorder: A guideline for diagnosis across the lifespan. </w:t>
      </w:r>
      <w:r w:rsidRPr="00ED65CD">
        <w:rPr>
          <w:i/>
          <w:color w:val="222222"/>
          <w:shd w:val="clear" w:color="auto" w:fill="FFFFFF"/>
        </w:rPr>
        <w:t>Canadian Medical Association Journal, 188</w:t>
      </w:r>
      <w:r w:rsidRPr="00ED65CD">
        <w:rPr>
          <w:color w:val="222222"/>
          <w:shd w:val="clear" w:color="auto" w:fill="FFFFFF"/>
        </w:rPr>
        <w:t>(3), 191-197.</w:t>
      </w:r>
    </w:p>
    <w:p w14:paraId="59879388" w14:textId="77777777" w:rsidR="0062528A" w:rsidRPr="00ED65CD" w:rsidRDefault="0062528A" w:rsidP="0062528A">
      <w:pPr>
        <w:pStyle w:val="paragraph"/>
        <w:spacing w:before="0" w:beforeAutospacing="0" w:after="0" w:afterAutospacing="0" w:line="480" w:lineRule="auto"/>
        <w:ind w:left="720" w:hanging="720"/>
        <w:textAlignment w:val="baseline"/>
        <w:rPr>
          <w:color w:val="222222"/>
          <w:shd w:val="clear" w:color="auto" w:fill="FFFFFF"/>
        </w:rPr>
      </w:pPr>
      <w:r w:rsidRPr="00ED65CD">
        <w:rPr>
          <w:color w:val="222222"/>
          <w:shd w:val="clear" w:color="auto" w:fill="FFFFFF"/>
        </w:rPr>
        <w:t xml:space="preserve">Craig, F., </w:t>
      </w:r>
      <w:proofErr w:type="spellStart"/>
      <w:r w:rsidRPr="00ED65CD">
        <w:rPr>
          <w:color w:val="222222"/>
          <w:shd w:val="clear" w:color="auto" w:fill="FFFFFF"/>
        </w:rPr>
        <w:t>Margari</w:t>
      </w:r>
      <w:proofErr w:type="spellEnd"/>
      <w:r w:rsidRPr="00ED65CD">
        <w:rPr>
          <w:color w:val="222222"/>
          <w:shd w:val="clear" w:color="auto" w:fill="FFFFFF"/>
        </w:rPr>
        <w:t xml:space="preserve">, F., </w:t>
      </w:r>
      <w:proofErr w:type="spellStart"/>
      <w:r w:rsidRPr="00ED65CD">
        <w:rPr>
          <w:color w:val="222222"/>
          <w:shd w:val="clear" w:color="auto" w:fill="FFFFFF"/>
        </w:rPr>
        <w:t>Legrottaglie</w:t>
      </w:r>
      <w:proofErr w:type="spellEnd"/>
      <w:r w:rsidRPr="00ED65CD">
        <w:rPr>
          <w:color w:val="222222"/>
          <w:shd w:val="clear" w:color="auto" w:fill="FFFFFF"/>
        </w:rPr>
        <w:t xml:space="preserve">, A. R., </w:t>
      </w:r>
      <w:proofErr w:type="spellStart"/>
      <w:r w:rsidRPr="00ED65CD">
        <w:rPr>
          <w:color w:val="222222"/>
          <w:shd w:val="clear" w:color="auto" w:fill="FFFFFF"/>
        </w:rPr>
        <w:t>Palumbi</w:t>
      </w:r>
      <w:proofErr w:type="spellEnd"/>
      <w:r w:rsidRPr="00ED65CD">
        <w:rPr>
          <w:color w:val="222222"/>
          <w:shd w:val="clear" w:color="auto" w:fill="FFFFFF"/>
        </w:rPr>
        <w:t xml:space="preserve">, R., De </w:t>
      </w:r>
      <w:proofErr w:type="spellStart"/>
      <w:r w:rsidRPr="00ED65CD">
        <w:rPr>
          <w:color w:val="222222"/>
          <w:shd w:val="clear" w:color="auto" w:fill="FFFFFF"/>
        </w:rPr>
        <w:t>Giambattista</w:t>
      </w:r>
      <w:proofErr w:type="spellEnd"/>
      <w:r w:rsidRPr="00ED65CD">
        <w:rPr>
          <w:color w:val="222222"/>
          <w:shd w:val="clear" w:color="auto" w:fill="FFFFFF"/>
        </w:rPr>
        <w:t xml:space="preserve">, C., &amp; </w:t>
      </w:r>
      <w:proofErr w:type="spellStart"/>
      <w:r w:rsidRPr="00ED65CD">
        <w:rPr>
          <w:color w:val="222222"/>
          <w:shd w:val="clear" w:color="auto" w:fill="FFFFFF"/>
        </w:rPr>
        <w:t>Margari</w:t>
      </w:r>
      <w:proofErr w:type="spellEnd"/>
      <w:r w:rsidRPr="00ED65CD">
        <w:rPr>
          <w:color w:val="222222"/>
          <w:shd w:val="clear" w:color="auto" w:fill="FFFFFF"/>
        </w:rPr>
        <w:t xml:space="preserve">, </w:t>
      </w:r>
      <w:r w:rsidRPr="00ED65CD">
        <w:rPr>
          <w:color w:val="222222"/>
          <w:shd w:val="clear" w:color="auto" w:fill="FFFFFF"/>
        </w:rPr>
        <w:tab/>
        <w:t xml:space="preserve">L. (2016). A review of executive function deficits in autism spectrum disorder and attention-deficit/hyperactivity disorder. </w:t>
      </w:r>
      <w:r w:rsidRPr="00ED65CD">
        <w:rPr>
          <w:i/>
          <w:color w:val="222222"/>
          <w:shd w:val="clear" w:color="auto" w:fill="FFFFFF"/>
        </w:rPr>
        <w:t>Neuropsychiatric disease and treatment, 12</w:t>
      </w:r>
      <w:r w:rsidRPr="00ED65CD">
        <w:rPr>
          <w:color w:val="222222"/>
          <w:shd w:val="clear" w:color="auto" w:fill="FFFFFF"/>
        </w:rPr>
        <w:t>, 1191.</w:t>
      </w:r>
    </w:p>
    <w:p w14:paraId="4133B4AE" w14:textId="77777777" w:rsidR="0062528A" w:rsidRPr="00ED65CD" w:rsidRDefault="0062528A" w:rsidP="0062528A">
      <w:pPr>
        <w:pStyle w:val="paragraph"/>
        <w:spacing w:before="0" w:beforeAutospacing="0" w:after="0" w:afterAutospacing="0" w:line="480" w:lineRule="auto"/>
        <w:ind w:left="720" w:hanging="720"/>
        <w:textAlignment w:val="baseline"/>
        <w:rPr>
          <w:color w:val="222222"/>
          <w:shd w:val="clear" w:color="auto" w:fill="FFFFFF"/>
        </w:rPr>
      </w:pPr>
      <w:r w:rsidRPr="00873D9C">
        <w:rPr>
          <w:color w:val="222222"/>
          <w:shd w:val="clear" w:color="auto" w:fill="FFFFFF"/>
        </w:rPr>
        <w:t xml:space="preserve">Feldman, H.S., Jones, K.L., Lindsay, S., </w:t>
      </w:r>
      <w:proofErr w:type="spellStart"/>
      <w:r w:rsidRPr="00873D9C">
        <w:rPr>
          <w:color w:val="222222"/>
          <w:shd w:val="clear" w:color="auto" w:fill="FFFFFF"/>
        </w:rPr>
        <w:t>Slymen</w:t>
      </w:r>
      <w:proofErr w:type="spellEnd"/>
      <w:r w:rsidRPr="00873D9C">
        <w:rPr>
          <w:color w:val="222222"/>
          <w:shd w:val="clear" w:color="auto" w:fill="FFFFFF"/>
        </w:rPr>
        <w:t xml:space="preserve">, K., </w:t>
      </w:r>
      <w:proofErr w:type="spellStart"/>
      <w:r w:rsidRPr="00873D9C">
        <w:rPr>
          <w:color w:val="222222"/>
          <w:shd w:val="clear" w:color="auto" w:fill="FFFFFF"/>
        </w:rPr>
        <w:t>Klonoff</w:t>
      </w:r>
      <w:proofErr w:type="spellEnd"/>
      <w:r w:rsidRPr="00873D9C">
        <w:rPr>
          <w:color w:val="222222"/>
          <w:shd w:val="clear" w:color="auto" w:fill="FFFFFF"/>
        </w:rPr>
        <w:t>-Cohen, H., Kao, K., Rao, S., Chambers, C. (2012).</w:t>
      </w:r>
      <w:r w:rsidRPr="00ED65CD">
        <w:rPr>
          <w:color w:val="222222"/>
          <w:shd w:val="clear" w:color="auto" w:fill="FFFFFF"/>
        </w:rPr>
        <w:t xml:space="preserve"> Prenatal alcohol exposure patterns and alcohol-related birth </w:t>
      </w:r>
      <w:r w:rsidRPr="00ED65CD">
        <w:rPr>
          <w:color w:val="222222"/>
          <w:shd w:val="clear" w:color="auto" w:fill="FFFFFF"/>
        </w:rPr>
        <w:lastRenderedPageBreak/>
        <w:t xml:space="preserve">defects and growth deficiencies: A prospective study. </w:t>
      </w:r>
      <w:r w:rsidRPr="00ED65CD">
        <w:rPr>
          <w:i/>
          <w:color w:val="222222"/>
          <w:shd w:val="clear" w:color="auto" w:fill="FFFFFF"/>
        </w:rPr>
        <w:t>Alcoholism, Clinical and Experimental Research,</w:t>
      </w:r>
      <w:r w:rsidRPr="00ED65CD">
        <w:rPr>
          <w:color w:val="222222"/>
          <w:shd w:val="clear" w:color="auto" w:fill="FFFFFF"/>
        </w:rPr>
        <w:t xml:space="preserve"> </w:t>
      </w:r>
      <w:r w:rsidRPr="00ED65CD">
        <w:rPr>
          <w:i/>
          <w:color w:val="222222"/>
          <w:shd w:val="clear" w:color="auto" w:fill="FFFFFF"/>
        </w:rPr>
        <w:t>36</w:t>
      </w:r>
      <w:r w:rsidRPr="00ED65CD">
        <w:rPr>
          <w:color w:val="222222"/>
          <w:shd w:val="clear" w:color="auto" w:fill="FFFFFF"/>
        </w:rPr>
        <w:t>(4), 670-676.</w:t>
      </w:r>
    </w:p>
    <w:p w14:paraId="77A73CBE" w14:textId="77777777" w:rsidR="0062528A" w:rsidRPr="00ED65CD" w:rsidRDefault="0062528A" w:rsidP="0062528A">
      <w:pPr>
        <w:spacing w:after="0" w:line="480" w:lineRule="auto"/>
        <w:ind w:left="720" w:hanging="720"/>
      </w:pPr>
      <w:proofErr w:type="spellStart"/>
      <w:r w:rsidRPr="00873D9C">
        <w:t>Hoyme</w:t>
      </w:r>
      <w:proofErr w:type="spellEnd"/>
      <w:r w:rsidRPr="00873D9C">
        <w:t xml:space="preserve">, H.E., </w:t>
      </w:r>
      <w:proofErr w:type="spellStart"/>
      <w:r w:rsidRPr="00873D9C">
        <w:t>Kalberg</w:t>
      </w:r>
      <w:proofErr w:type="spellEnd"/>
      <w:r w:rsidRPr="00873D9C">
        <w:t xml:space="preserve">, W.O., Elliott, A.J., Blankenship, J., Buckley, D., Marais, A.S., Manning, M.A., Robinson, L.K., Adam, M.P., </w:t>
      </w:r>
      <w:proofErr w:type="spellStart"/>
      <w:r w:rsidRPr="00873D9C">
        <w:t>Abdule</w:t>
      </w:r>
      <w:proofErr w:type="spellEnd"/>
      <w:r w:rsidRPr="00873D9C">
        <w:t xml:space="preserve">-Rahman, O., Jewett, T., Coles, C.D., Chambers, C., Jones, K.L., </w:t>
      </w:r>
      <w:proofErr w:type="spellStart"/>
      <w:r w:rsidRPr="00873D9C">
        <w:t>Adnams</w:t>
      </w:r>
      <w:proofErr w:type="spellEnd"/>
      <w:r w:rsidRPr="00873D9C">
        <w:t xml:space="preserve">, C.M., Shah, P.E., Riley, E.P., </w:t>
      </w:r>
      <w:proofErr w:type="spellStart"/>
      <w:r w:rsidRPr="00873D9C">
        <w:t>Charness</w:t>
      </w:r>
      <w:proofErr w:type="spellEnd"/>
      <w:r w:rsidRPr="00873D9C">
        <w:t>, M.E., Warren, K.R., May, P.A.</w:t>
      </w:r>
      <w:r w:rsidRPr="00ED65CD">
        <w:t xml:space="preserve">  (2016) Updated clinical guidelines for diagnosing fetal alcohol spectrum disorders. </w:t>
      </w:r>
      <w:r w:rsidRPr="00ED65CD">
        <w:rPr>
          <w:i/>
        </w:rPr>
        <w:t>Pediatrics, 138</w:t>
      </w:r>
      <w:r w:rsidRPr="00ED65CD">
        <w:t>(2).</w:t>
      </w:r>
    </w:p>
    <w:p w14:paraId="65D23471" w14:textId="77777777" w:rsidR="0062528A" w:rsidRPr="00ED65CD" w:rsidRDefault="0062528A" w:rsidP="0062528A">
      <w:pPr>
        <w:spacing w:after="0" w:line="480" w:lineRule="auto"/>
        <w:ind w:left="720" w:hanging="720"/>
      </w:pPr>
      <w:r w:rsidRPr="00ED65CD">
        <w:t>Kable, J. A., &amp; Mukherjee, R. A. (2017). Neurodevelopmental disorder associated with prenatal exposure to alcohol (ND-PAE): A proposed diagnostic method of capturing the neurocognitive phenotype of FASD</w:t>
      </w:r>
      <w:r w:rsidRPr="00ED65CD">
        <w:rPr>
          <w:i/>
        </w:rPr>
        <w:t>. European Journal of Medical Genetics, 60</w:t>
      </w:r>
      <w:r w:rsidRPr="00ED65CD">
        <w:t>(1), 49-54.</w:t>
      </w:r>
    </w:p>
    <w:p w14:paraId="4C32B0C9" w14:textId="77777777" w:rsidR="0062528A" w:rsidRPr="00ED65CD" w:rsidRDefault="0062528A" w:rsidP="0062528A">
      <w:pPr>
        <w:spacing w:after="0" w:line="480" w:lineRule="auto"/>
        <w:ind w:left="720" w:hanging="720"/>
      </w:pPr>
      <w:r w:rsidRPr="00ED65CD">
        <w:t xml:space="preserve">Lange, S., Shield, K., Rehm, J., &amp; Popova, S. (2013). Prevalence of fetal alcohol spectrum disorders in </w:t>
      </w:r>
      <w:proofErr w:type="gramStart"/>
      <w:r w:rsidRPr="00ED65CD">
        <w:t>child care</w:t>
      </w:r>
      <w:proofErr w:type="gramEnd"/>
      <w:r w:rsidRPr="00ED65CD">
        <w:t xml:space="preserve"> settings: a meta-analysis. </w:t>
      </w:r>
      <w:r w:rsidRPr="00ED65CD">
        <w:rPr>
          <w:i/>
        </w:rPr>
        <w:t>Pediatrics, 132</w:t>
      </w:r>
      <w:r w:rsidRPr="00ED65CD">
        <w:t>(4), e980-e995.</w:t>
      </w:r>
    </w:p>
    <w:p w14:paraId="4FB4F1C6" w14:textId="77777777" w:rsidR="0062528A" w:rsidRPr="00ED65CD" w:rsidRDefault="0062528A" w:rsidP="0062528A">
      <w:pPr>
        <w:spacing w:after="0" w:line="480" w:lineRule="auto"/>
        <w:ind w:left="720" w:hanging="720"/>
      </w:pPr>
      <w:proofErr w:type="spellStart"/>
      <w:r w:rsidRPr="00ED65CD">
        <w:t>Malbin</w:t>
      </w:r>
      <w:proofErr w:type="spellEnd"/>
      <w:r w:rsidRPr="00ED65CD">
        <w:t xml:space="preserve">, D. (2002). Fetal Alcohol Syndrome and Alcohol-related Neurodevelopmental Disorders: Trying Differently Rather Than Harder. </w:t>
      </w:r>
      <w:proofErr w:type="spellStart"/>
      <w:r w:rsidRPr="00ED65CD">
        <w:t>Tectrice</w:t>
      </w:r>
      <w:proofErr w:type="spellEnd"/>
      <w:r w:rsidRPr="00ED65CD">
        <w:t>, Incorporated.</w:t>
      </w:r>
    </w:p>
    <w:p w14:paraId="6BAC2234" w14:textId="77777777" w:rsidR="0062528A" w:rsidRPr="00ED65CD" w:rsidRDefault="0062528A" w:rsidP="0062528A">
      <w:pPr>
        <w:spacing w:after="0" w:line="480" w:lineRule="auto"/>
        <w:ind w:left="720" w:hanging="720"/>
        <w:rPr>
          <w:color w:val="222222"/>
          <w:shd w:val="clear" w:color="auto" w:fill="FFFFFF"/>
        </w:rPr>
      </w:pPr>
      <w:r w:rsidRPr="00ED65CD">
        <w:rPr>
          <w:color w:val="222222"/>
          <w:shd w:val="clear" w:color="auto" w:fill="FFFFFF"/>
        </w:rPr>
        <w:t xml:space="preserve">Manning, M. A., &amp; </w:t>
      </w:r>
      <w:proofErr w:type="spellStart"/>
      <w:r w:rsidRPr="00ED65CD">
        <w:rPr>
          <w:color w:val="222222"/>
          <w:shd w:val="clear" w:color="auto" w:fill="FFFFFF"/>
        </w:rPr>
        <w:t>Hoyme</w:t>
      </w:r>
      <w:proofErr w:type="spellEnd"/>
      <w:r w:rsidRPr="00ED65CD">
        <w:rPr>
          <w:color w:val="222222"/>
          <w:shd w:val="clear" w:color="auto" w:fill="FFFFFF"/>
        </w:rPr>
        <w:t>, H. E. (2007). Fetal alcohol spectrum disorders: a practical clinical approach to diagnosis. </w:t>
      </w:r>
      <w:r w:rsidRPr="00ED65CD">
        <w:rPr>
          <w:i/>
          <w:iCs/>
          <w:color w:val="222222"/>
          <w:shd w:val="clear" w:color="auto" w:fill="FFFFFF"/>
        </w:rPr>
        <w:t>Neuroscience &amp; Biobehavioral Reviews</w:t>
      </w:r>
      <w:r w:rsidRPr="00ED65CD">
        <w:rPr>
          <w:color w:val="222222"/>
          <w:shd w:val="clear" w:color="auto" w:fill="FFFFFF"/>
        </w:rPr>
        <w:t>, </w:t>
      </w:r>
      <w:r w:rsidRPr="00ED65CD">
        <w:rPr>
          <w:i/>
          <w:iCs/>
          <w:color w:val="222222"/>
          <w:shd w:val="clear" w:color="auto" w:fill="FFFFFF"/>
        </w:rPr>
        <w:t>31</w:t>
      </w:r>
      <w:r w:rsidRPr="00ED65CD">
        <w:rPr>
          <w:color w:val="222222"/>
          <w:shd w:val="clear" w:color="auto" w:fill="FFFFFF"/>
        </w:rPr>
        <w:t>(2), 230-238.</w:t>
      </w:r>
    </w:p>
    <w:p w14:paraId="45A90699" w14:textId="77777777" w:rsidR="0062528A" w:rsidRPr="00ED65CD" w:rsidRDefault="0062528A" w:rsidP="0062528A">
      <w:pPr>
        <w:spacing w:after="0" w:line="480" w:lineRule="auto"/>
        <w:ind w:left="720" w:hanging="720"/>
        <w:rPr>
          <w:color w:val="222222"/>
          <w:shd w:val="clear" w:color="auto" w:fill="FFFFFF"/>
        </w:rPr>
      </w:pPr>
      <w:r w:rsidRPr="00ED65CD">
        <w:rPr>
          <w:color w:val="222222"/>
          <w:shd w:val="clear" w:color="auto" w:fill="FFFFFF"/>
        </w:rPr>
        <w:t xml:space="preserve">Mattson, S.N., Crocker, N., Nguyen, T.T. (2011) Fetal alcohol spectrum disorders: Neuropsychological and behavioral features. </w:t>
      </w:r>
      <w:r w:rsidRPr="00ED65CD">
        <w:rPr>
          <w:i/>
          <w:color w:val="222222"/>
          <w:shd w:val="clear" w:color="auto" w:fill="FFFFFF"/>
        </w:rPr>
        <w:t>Neuropsychology Review</w:t>
      </w:r>
      <w:r w:rsidRPr="00ED65CD">
        <w:rPr>
          <w:color w:val="222222"/>
          <w:shd w:val="clear" w:color="auto" w:fill="FFFFFF"/>
        </w:rPr>
        <w:t xml:space="preserve">, </w:t>
      </w:r>
      <w:r w:rsidRPr="00ED65CD">
        <w:rPr>
          <w:i/>
          <w:color w:val="222222"/>
          <w:shd w:val="clear" w:color="auto" w:fill="FFFFFF"/>
        </w:rPr>
        <w:t>21</w:t>
      </w:r>
      <w:r w:rsidRPr="00ED65CD">
        <w:rPr>
          <w:color w:val="222222"/>
          <w:shd w:val="clear" w:color="auto" w:fill="FFFFFF"/>
        </w:rPr>
        <w:t>, 81-101.</w:t>
      </w:r>
    </w:p>
    <w:p w14:paraId="006EF008" w14:textId="77777777" w:rsidR="0062528A" w:rsidRPr="00ED65CD" w:rsidRDefault="0062528A" w:rsidP="0062528A">
      <w:pPr>
        <w:spacing w:after="0" w:line="480" w:lineRule="auto"/>
        <w:ind w:left="720" w:hanging="720"/>
        <w:rPr>
          <w:color w:val="222222"/>
          <w:shd w:val="clear" w:color="auto" w:fill="FFFFFF"/>
        </w:rPr>
      </w:pPr>
      <w:r w:rsidRPr="00ED65CD">
        <w:rPr>
          <w:color w:val="222222"/>
          <w:shd w:val="clear" w:color="auto" w:fill="FFFFFF"/>
        </w:rPr>
        <w:t xml:space="preserve">May, P., Chambers, C., </w:t>
      </w:r>
      <w:proofErr w:type="spellStart"/>
      <w:r w:rsidRPr="00ED65CD">
        <w:rPr>
          <w:color w:val="222222"/>
          <w:shd w:val="clear" w:color="auto" w:fill="FFFFFF"/>
        </w:rPr>
        <w:t>Kalberg</w:t>
      </w:r>
      <w:proofErr w:type="spellEnd"/>
      <w:r w:rsidRPr="00ED65CD">
        <w:rPr>
          <w:color w:val="222222"/>
          <w:shd w:val="clear" w:color="auto" w:fill="FFFFFF"/>
        </w:rPr>
        <w:t>, W., Zellner, J., Feldman, H., Buckley, D</w:t>
      </w:r>
      <w:r w:rsidRPr="005F37B7">
        <w:rPr>
          <w:color w:val="222222"/>
          <w:shd w:val="clear" w:color="auto" w:fill="FFFFFF"/>
        </w:rPr>
        <w:t xml:space="preserve">., </w:t>
      </w:r>
      <w:proofErr w:type="spellStart"/>
      <w:r w:rsidRPr="005F37B7">
        <w:rPr>
          <w:color w:val="222222"/>
          <w:shd w:val="clear" w:color="auto" w:fill="FFFFFF"/>
        </w:rPr>
        <w:t>Kopald</w:t>
      </w:r>
      <w:proofErr w:type="spellEnd"/>
      <w:r w:rsidRPr="005F37B7">
        <w:rPr>
          <w:color w:val="222222"/>
          <w:shd w:val="clear" w:color="auto" w:fill="FFFFFF"/>
        </w:rPr>
        <w:t>, D.,</w:t>
      </w:r>
      <w:r w:rsidRPr="00ED65CD">
        <w:rPr>
          <w:rFonts w:ascii="Arial" w:hAnsi="Arial" w:cs="Arial"/>
          <w:color w:val="222222"/>
          <w:sz w:val="20"/>
          <w:szCs w:val="20"/>
          <w:shd w:val="clear" w:color="auto" w:fill="FFFFFF"/>
        </w:rPr>
        <w:t xml:space="preserve"> </w:t>
      </w:r>
      <w:proofErr w:type="spellStart"/>
      <w:r w:rsidRPr="005F37B7">
        <w:rPr>
          <w:color w:val="222222"/>
          <w:shd w:val="clear" w:color="auto" w:fill="FFFFFF"/>
        </w:rPr>
        <w:t>Hasken</w:t>
      </w:r>
      <w:proofErr w:type="spellEnd"/>
      <w:r w:rsidRPr="005F37B7">
        <w:rPr>
          <w:color w:val="222222"/>
          <w:shd w:val="clear" w:color="auto" w:fill="FFFFFF"/>
        </w:rPr>
        <w:t xml:space="preserve">, J.M., Xu, R., </w:t>
      </w:r>
      <w:proofErr w:type="spellStart"/>
      <w:r w:rsidRPr="005F37B7">
        <w:rPr>
          <w:color w:val="222222"/>
          <w:shd w:val="clear" w:color="auto" w:fill="FFFFFF"/>
        </w:rPr>
        <w:t>Honerkamp</w:t>
      </w:r>
      <w:proofErr w:type="spellEnd"/>
      <w:r w:rsidRPr="005F37B7">
        <w:rPr>
          <w:color w:val="222222"/>
          <w:shd w:val="clear" w:color="auto" w:fill="FFFFFF"/>
        </w:rPr>
        <w:t xml:space="preserve">-Smith, G., &amp; </w:t>
      </w:r>
      <w:proofErr w:type="spellStart"/>
      <w:r w:rsidRPr="005F37B7">
        <w:rPr>
          <w:color w:val="222222"/>
          <w:shd w:val="clear" w:color="auto" w:fill="FFFFFF"/>
        </w:rPr>
        <w:t>Taras</w:t>
      </w:r>
      <w:proofErr w:type="spellEnd"/>
      <w:r w:rsidRPr="005F37B7">
        <w:rPr>
          <w:color w:val="222222"/>
          <w:shd w:val="clear" w:color="auto" w:fill="FFFFFF"/>
        </w:rPr>
        <w:t>, H. (2018).</w:t>
      </w:r>
      <w:r w:rsidRPr="00ED65CD">
        <w:rPr>
          <w:color w:val="222222"/>
          <w:shd w:val="clear" w:color="auto" w:fill="FFFFFF"/>
        </w:rPr>
        <w:t xml:space="preserve"> Prevalence of fetal alcohol spectrum disorders in 4 US communities. </w:t>
      </w:r>
      <w:r w:rsidRPr="00ED65CD">
        <w:rPr>
          <w:i/>
          <w:color w:val="222222"/>
          <w:shd w:val="clear" w:color="auto" w:fill="FFFFFF"/>
        </w:rPr>
        <w:t>Journal of the American Medical Association</w:t>
      </w:r>
      <w:r w:rsidRPr="00ED65CD">
        <w:rPr>
          <w:color w:val="222222"/>
          <w:shd w:val="clear" w:color="auto" w:fill="FFFFFF"/>
        </w:rPr>
        <w:t xml:space="preserve">, </w:t>
      </w:r>
      <w:r w:rsidRPr="00ED65CD">
        <w:rPr>
          <w:i/>
          <w:color w:val="222222"/>
          <w:shd w:val="clear" w:color="auto" w:fill="FFFFFF"/>
        </w:rPr>
        <w:t>319</w:t>
      </w:r>
      <w:r w:rsidRPr="00ED65CD">
        <w:rPr>
          <w:color w:val="222222"/>
          <w:shd w:val="clear" w:color="auto" w:fill="FFFFFF"/>
        </w:rPr>
        <w:t>(5), 474-482.</w:t>
      </w:r>
    </w:p>
    <w:p w14:paraId="3AFB0B38" w14:textId="77777777" w:rsidR="0062528A" w:rsidRPr="00ED65CD" w:rsidRDefault="0062528A" w:rsidP="0062528A">
      <w:pPr>
        <w:spacing w:after="0" w:line="480" w:lineRule="auto"/>
        <w:ind w:left="720" w:hanging="720"/>
        <w:rPr>
          <w:color w:val="222222"/>
          <w:shd w:val="clear" w:color="auto" w:fill="FFFFFF"/>
        </w:rPr>
      </w:pPr>
      <w:r w:rsidRPr="00ED65CD">
        <w:rPr>
          <w:color w:val="222222"/>
          <w:shd w:val="clear" w:color="auto" w:fill="FFFFFF"/>
        </w:rPr>
        <w:t xml:space="preserve">McLaughlin, S. A., Thorne, J. C., </w:t>
      </w:r>
      <w:proofErr w:type="spellStart"/>
      <w:r w:rsidRPr="00ED65CD">
        <w:rPr>
          <w:color w:val="222222"/>
          <w:shd w:val="clear" w:color="auto" w:fill="FFFFFF"/>
        </w:rPr>
        <w:t>Jirikowic</w:t>
      </w:r>
      <w:proofErr w:type="spellEnd"/>
      <w:r w:rsidRPr="00ED65CD">
        <w:rPr>
          <w:color w:val="222222"/>
          <w:shd w:val="clear" w:color="auto" w:fill="FFFFFF"/>
        </w:rPr>
        <w:t xml:space="preserve">, T., Waddington, T., Lee, A. K., &amp; Astley </w:t>
      </w:r>
      <w:r w:rsidRPr="00ED65CD">
        <w:rPr>
          <w:color w:val="222222"/>
          <w:shd w:val="clear" w:color="auto" w:fill="FFFFFF"/>
        </w:rPr>
        <w:lastRenderedPageBreak/>
        <w:t xml:space="preserve">Hemingway, S. J. (2019). Listening difficulties in children with fetal alcohol spectrum disorders: More than a problem of audibility. </w:t>
      </w:r>
      <w:r w:rsidRPr="00ED65CD">
        <w:rPr>
          <w:i/>
          <w:color w:val="222222"/>
          <w:shd w:val="clear" w:color="auto" w:fill="FFFFFF"/>
        </w:rPr>
        <w:t>Journal of Speech, Language, and Hearing Research, 62</w:t>
      </w:r>
      <w:r w:rsidRPr="00ED65CD">
        <w:rPr>
          <w:color w:val="222222"/>
          <w:shd w:val="clear" w:color="auto" w:fill="FFFFFF"/>
        </w:rPr>
        <w:t>(5), 1532-1548.</w:t>
      </w:r>
    </w:p>
    <w:p w14:paraId="4BEA328B" w14:textId="77777777" w:rsidR="0062528A" w:rsidRPr="00ED65CD" w:rsidRDefault="0062528A" w:rsidP="0062528A">
      <w:pPr>
        <w:spacing w:after="0" w:line="480" w:lineRule="auto"/>
        <w:ind w:left="720" w:hanging="720"/>
        <w:rPr>
          <w:color w:val="222222"/>
          <w:shd w:val="clear" w:color="auto" w:fill="FFFFFF"/>
        </w:rPr>
      </w:pPr>
      <w:r w:rsidRPr="00ED65CD">
        <w:rPr>
          <w:color w:val="222222"/>
          <w:shd w:val="clear" w:color="auto" w:fill="FFFFFF"/>
        </w:rPr>
        <w:t xml:space="preserve">Moore, E.S. Ward, R.W., Wetherill, L.F., Rogers, J.L., </w:t>
      </w:r>
      <w:proofErr w:type="spellStart"/>
      <w:r w:rsidRPr="00ED65CD">
        <w:rPr>
          <w:color w:val="222222"/>
          <w:shd w:val="clear" w:color="auto" w:fill="FFFFFF"/>
        </w:rPr>
        <w:t>Autti-Rämö</w:t>
      </w:r>
      <w:proofErr w:type="spellEnd"/>
      <w:r w:rsidRPr="00ED65CD">
        <w:rPr>
          <w:color w:val="222222"/>
          <w:shd w:val="clear" w:color="auto" w:fill="FFFFFF"/>
        </w:rPr>
        <w:t xml:space="preserve">, I., </w:t>
      </w:r>
      <w:proofErr w:type="spellStart"/>
      <w:r w:rsidRPr="00ED65CD">
        <w:rPr>
          <w:color w:val="222222"/>
          <w:shd w:val="clear" w:color="auto" w:fill="FFFFFF"/>
        </w:rPr>
        <w:t>Fagerlund</w:t>
      </w:r>
      <w:proofErr w:type="spellEnd"/>
      <w:r w:rsidRPr="00ED65CD">
        <w:rPr>
          <w:color w:val="222222"/>
          <w:shd w:val="clear" w:color="auto" w:fill="FFFFFF"/>
        </w:rPr>
        <w:t xml:space="preserve">, </w:t>
      </w:r>
      <w:proofErr w:type="gramStart"/>
      <w:r w:rsidRPr="00ED65CD">
        <w:rPr>
          <w:color w:val="222222"/>
          <w:shd w:val="clear" w:color="auto" w:fill="FFFFFF"/>
        </w:rPr>
        <w:t xml:space="preserve">A, </w:t>
      </w:r>
      <w:r w:rsidRPr="00873D9C">
        <w:rPr>
          <w:color w:val="222222"/>
          <w:shd w:val="clear" w:color="auto" w:fill="FFFFFF"/>
        </w:rPr>
        <w:t xml:space="preserve"> Jacobson</w:t>
      </w:r>
      <w:proofErr w:type="gramEnd"/>
      <w:r w:rsidRPr="00873D9C">
        <w:rPr>
          <w:color w:val="222222"/>
          <w:shd w:val="clear" w:color="auto" w:fill="FFFFFF"/>
        </w:rPr>
        <w:t xml:space="preserve">, S.W., Robinson, L.K., </w:t>
      </w:r>
      <w:proofErr w:type="spellStart"/>
      <w:r w:rsidRPr="00873D9C">
        <w:rPr>
          <w:color w:val="222222"/>
          <w:shd w:val="clear" w:color="auto" w:fill="FFFFFF"/>
        </w:rPr>
        <w:t>Hoyme</w:t>
      </w:r>
      <w:proofErr w:type="spellEnd"/>
      <w:r w:rsidRPr="00873D9C">
        <w:rPr>
          <w:color w:val="222222"/>
          <w:shd w:val="clear" w:color="auto" w:fill="FFFFFF"/>
        </w:rPr>
        <w:t xml:space="preserve">, H.E., Mattson, S.N., </w:t>
      </w:r>
      <w:r w:rsidRPr="00ED65CD">
        <w:rPr>
          <w:color w:val="222222"/>
          <w:shd w:val="clear" w:color="auto" w:fill="FFFFFF"/>
        </w:rPr>
        <w:t xml:space="preserve">&amp; </w:t>
      </w:r>
      <w:proofErr w:type="spellStart"/>
      <w:r w:rsidRPr="00ED65CD">
        <w:rPr>
          <w:color w:val="222222"/>
          <w:shd w:val="clear" w:color="auto" w:fill="FFFFFF"/>
        </w:rPr>
        <w:t>Foroud</w:t>
      </w:r>
      <w:proofErr w:type="spellEnd"/>
      <w:r w:rsidRPr="00ED65CD">
        <w:rPr>
          <w:color w:val="222222"/>
          <w:shd w:val="clear" w:color="auto" w:fill="FFFFFF"/>
        </w:rPr>
        <w:t xml:space="preserve">, T. (2007). Unique facial features distinguish fetal alcohol syndrome patients and controls in diverse ethnic populations. </w:t>
      </w:r>
      <w:r w:rsidRPr="00ED65CD">
        <w:rPr>
          <w:i/>
          <w:color w:val="222222"/>
          <w:shd w:val="clear" w:color="auto" w:fill="FFFFFF"/>
        </w:rPr>
        <w:t>Alcoholism, Clinical and Experimental Research</w:t>
      </w:r>
      <w:r w:rsidRPr="00ED65CD">
        <w:rPr>
          <w:color w:val="222222"/>
          <w:shd w:val="clear" w:color="auto" w:fill="FFFFFF"/>
        </w:rPr>
        <w:t xml:space="preserve">, </w:t>
      </w:r>
      <w:r w:rsidRPr="00ED65CD">
        <w:rPr>
          <w:i/>
          <w:color w:val="222222"/>
          <w:shd w:val="clear" w:color="auto" w:fill="FFFFFF"/>
        </w:rPr>
        <w:t>31</w:t>
      </w:r>
      <w:r w:rsidRPr="00ED65CD">
        <w:rPr>
          <w:color w:val="222222"/>
          <w:shd w:val="clear" w:color="auto" w:fill="FFFFFF"/>
        </w:rPr>
        <w:t>(10), 1707-1713.</w:t>
      </w:r>
    </w:p>
    <w:p w14:paraId="72A1E392" w14:textId="77777777" w:rsidR="0062528A" w:rsidRDefault="0062528A" w:rsidP="0062528A">
      <w:pPr>
        <w:spacing w:after="0" w:line="480" w:lineRule="auto"/>
        <w:ind w:left="720" w:hanging="720"/>
        <w:rPr>
          <w:color w:val="222222"/>
          <w:shd w:val="clear" w:color="auto" w:fill="FFFFFF"/>
        </w:rPr>
      </w:pPr>
      <w:proofErr w:type="spellStart"/>
      <w:r w:rsidRPr="00ED65CD">
        <w:rPr>
          <w:color w:val="222222"/>
          <w:shd w:val="clear" w:color="auto" w:fill="FFFFFF"/>
        </w:rPr>
        <w:t>Paolozza</w:t>
      </w:r>
      <w:proofErr w:type="spellEnd"/>
      <w:r w:rsidRPr="00ED65CD">
        <w:rPr>
          <w:color w:val="222222"/>
          <w:shd w:val="clear" w:color="auto" w:fill="FFFFFF"/>
        </w:rPr>
        <w:t xml:space="preserve">, A., Rasmussen, C., Pei, J., Hanlon-Dearman, A., </w:t>
      </w:r>
      <w:proofErr w:type="spellStart"/>
      <w:r w:rsidRPr="00ED65CD">
        <w:rPr>
          <w:color w:val="222222"/>
          <w:shd w:val="clear" w:color="auto" w:fill="FFFFFF"/>
        </w:rPr>
        <w:t>Nikkel</w:t>
      </w:r>
      <w:proofErr w:type="spellEnd"/>
      <w:r w:rsidRPr="00ED65CD">
        <w:rPr>
          <w:color w:val="222222"/>
          <w:shd w:val="clear" w:color="auto" w:fill="FFFFFF"/>
        </w:rPr>
        <w:t xml:space="preserve">, S., Andrew, G., </w:t>
      </w:r>
      <w:r w:rsidRPr="00873D9C">
        <w:rPr>
          <w:color w:val="222222"/>
          <w:shd w:val="clear" w:color="auto" w:fill="FFFFFF"/>
        </w:rPr>
        <w:t xml:space="preserve">McFarlane, A., </w:t>
      </w:r>
      <w:proofErr w:type="spellStart"/>
      <w:r w:rsidRPr="00873D9C">
        <w:rPr>
          <w:color w:val="222222"/>
          <w:shd w:val="clear" w:color="auto" w:fill="FFFFFF"/>
        </w:rPr>
        <w:t>Samdup</w:t>
      </w:r>
      <w:proofErr w:type="spellEnd"/>
      <w:r w:rsidRPr="00873D9C">
        <w:rPr>
          <w:color w:val="222222"/>
          <w:shd w:val="clear" w:color="auto" w:fill="FFFFFF"/>
        </w:rPr>
        <w:t xml:space="preserve">, D., </w:t>
      </w:r>
      <w:r w:rsidRPr="00ED65CD">
        <w:rPr>
          <w:color w:val="222222"/>
          <w:shd w:val="clear" w:color="auto" w:fill="FFFFFF"/>
        </w:rPr>
        <w:t xml:space="preserve">&amp; A., </w:t>
      </w:r>
      <w:proofErr w:type="spellStart"/>
      <w:r w:rsidRPr="00ED65CD">
        <w:rPr>
          <w:color w:val="222222"/>
          <w:shd w:val="clear" w:color="auto" w:fill="FFFFFF"/>
        </w:rPr>
        <w:t>Samdup</w:t>
      </w:r>
      <w:proofErr w:type="spellEnd"/>
      <w:r w:rsidRPr="00ED65CD">
        <w:rPr>
          <w:color w:val="222222"/>
          <w:shd w:val="clear" w:color="auto" w:fill="FFFFFF"/>
        </w:rPr>
        <w:t>, D., &amp; Reynolds, J. (2014). Working memory and visuospatial deficits correlate with oculomotor control in children with fetal alcohol spectrum disorder. </w:t>
      </w:r>
      <w:proofErr w:type="spellStart"/>
      <w:r w:rsidRPr="00ED65CD">
        <w:rPr>
          <w:i/>
          <w:iCs/>
          <w:color w:val="222222"/>
          <w:shd w:val="clear" w:color="auto" w:fill="FFFFFF"/>
        </w:rPr>
        <w:t>Behavioural</w:t>
      </w:r>
      <w:proofErr w:type="spellEnd"/>
      <w:r w:rsidRPr="00ED65CD">
        <w:rPr>
          <w:i/>
          <w:iCs/>
          <w:color w:val="222222"/>
          <w:shd w:val="clear" w:color="auto" w:fill="FFFFFF"/>
        </w:rPr>
        <w:t xml:space="preserve"> Brain Research</w:t>
      </w:r>
      <w:r w:rsidRPr="00ED65CD">
        <w:rPr>
          <w:color w:val="222222"/>
          <w:shd w:val="clear" w:color="auto" w:fill="FFFFFF"/>
        </w:rPr>
        <w:t>, </w:t>
      </w:r>
      <w:r w:rsidRPr="00ED65CD">
        <w:rPr>
          <w:i/>
          <w:iCs/>
          <w:color w:val="222222"/>
          <w:shd w:val="clear" w:color="auto" w:fill="FFFFFF"/>
        </w:rPr>
        <w:t>263</w:t>
      </w:r>
      <w:r w:rsidRPr="00ED65CD">
        <w:rPr>
          <w:color w:val="222222"/>
          <w:shd w:val="clear" w:color="auto" w:fill="FFFFFF"/>
        </w:rPr>
        <w:t>, 70-79.</w:t>
      </w:r>
    </w:p>
    <w:p w14:paraId="47A45984" w14:textId="77777777" w:rsidR="0062528A" w:rsidRDefault="0062528A" w:rsidP="0062528A">
      <w:pPr>
        <w:spacing w:after="0" w:line="480" w:lineRule="auto"/>
        <w:ind w:left="720" w:hanging="720"/>
        <w:rPr>
          <w:color w:val="222222"/>
          <w:shd w:val="clear" w:color="auto" w:fill="FFFFFF"/>
        </w:rPr>
      </w:pPr>
      <w:proofErr w:type="spellStart"/>
      <w:r w:rsidRPr="007859B0">
        <w:rPr>
          <w:color w:val="222222"/>
          <w:shd w:val="clear" w:color="auto" w:fill="FFFFFF"/>
        </w:rPr>
        <w:t>Petrenko</w:t>
      </w:r>
      <w:proofErr w:type="spellEnd"/>
      <w:r w:rsidRPr="007859B0">
        <w:rPr>
          <w:color w:val="222222"/>
          <w:shd w:val="clear" w:color="auto" w:fill="FFFFFF"/>
        </w:rPr>
        <w:t xml:space="preserve">, C. L., &amp; Alto, M. E. (2017). Interventions in fetal alcohol spectrum disorders: An international perspective. </w:t>
      </w:r>
      <w:r w:rsidRPr="007859B0">
        <w:rPr>
          <w:i/>
          <w:color w:val="222222"/>
          <w:shd w:val="clear" w:color="auto" w:fill="FFFFFF"/>
        </w:rPr>
        <w:t>European journal of medical genetics, 60</w:t>
      </w:r>
      <w:r w:rsidRPr="007859B0">
        <w:rPr>
          <w:color w:val="222222"/>
          <w:shd w:val="clear" w:color="auto" w:fill="FFFFFF"/>
        </w:rPr>
        <w:t>(1), 79-91.</w:t>
      </w:r>
    </w:p>
    <w:p w14:paraId="070AF200" w14:textId="77777777" w:rsidR="0062528A" w:rsidRDefault="0062528A" w:rsidP="0062528A">
      <w:pPr>
        <w:spacing w:after="0" w:line="480" w:lineRule="auto"/>
        <w:ind w:left="720" w:hanging="720"/>
        <w:rPr>
          <w:color w:val="222222"/>
          <w:shd w:val="clear" w:color="auto" w:fill="FFFFFF"/>
        </w:rPr>
      </w:pPr>
      <w:r w:rsidRPr="006756EC">
        <w:rPr>
          <w:color w:val="222222"/>
          <w:shd w:val="clear" w:color="auto" w:fill="FFFFFF"/>
        </w:rPr>
        <w:t xml:space="preserve">Popova, S., Lange, S., </w:t>
      </w:r>
      <w:proofErr w:type="spellStart"/>
      <w:r w:rsidRPr="006756EC">
        <w:rPr>
          <w:color w:val="222222"/>
          <w:shd w:val="clear" w:color="auto" w:fill="FFFFFF"/>
        </w:rPr>
        <w:t>Bekmuradov</w:t>
      </w:r>
      <w:proofErr w:type="spellEnd"/>
      <w:r w:rsidRPr="006756EC">
        <w:rPr>
          <w:color w:val="222222"/>
          <w:shd w:val="clear" w:color="auto" w:fill="FFFFFF"/>
        </w:rPr>
        <w:t xml:space="preserve">, D., </w:t>
      </w:r>
      <w:proofErr w:type="spellStart"/>
      <w:r w:rsidRPr="006756EC">
        <w:rPr>
          <w:color w:val="222222"/>
          <w:shd w:val="clear" w:color="auto" w:fill="FFFFFF"/>
        </w:rPr>
        <w:t>Mihic</w:t>
      </w:r>
      <w:proofErr w:type="spellEnd"/>
      <w:r w:rsidRPr="006756EC">
        <w:rPr>
          <w:color w:val="222222"/>
          <w:shd w:val="clear" w:color="auto" w:fill="FFFFFF"/>
        </w:rPr>
        <w:t xml:space="preserve">, A., &amp; Rehm, J. (2011). Fetal alcohol spectrum disorder prevalence estimates in correctional systems: a systematic </w:t>
      </w:r>
      <w:r w:rsidRPr="006756EC">
        <w:rPr>
          <w:color w:val="222222"/>
          <w:shd w:val="clear" w:color="auto" w:fill="FFFFFF"/>
        </w:rPr>
        <w:tab/>
        <w:t xml:space="preserve">literature review. </w:t>
      </w:r>
      <w:r w:rsidRPr="006756EC">
        <w:rPr>
          <w:i/>
          <w:color w:val="222222"/>
          <w:shd w:val="clear" w:color="auto" w:fill="FFFFFF"/>
        </w:rPr>
        <w:t>Canadian Journal of Public Health, 102</w:t>
      </w:r>
      <w:r w:rsidRPr="006756EC">
        <w:rPr>
          <w:color w:val="222222"/>
          <w:shd w:val="clear" w:color="auto" w:fill="FFFFFF"/>
        </w:rPr>
        <w:t>(5), 336-340.</w:t>
      </w:r>
    </w:p>
    <w:p w14:paraId="49F2A3B2" w14:textId="77777777" w:rsidR="0062528A" w:rsidRDefault="0062528A" w:rsidP="0062528A">
      <w:pPr>
        <w:spacing w:after="0" w:line="480" w:lineRule="auto"/>
        <w:ind w:left="720" w:hanging="720"/>
        <w:rPr>
          <w:color w:val="222222"/>
          <w:shd w:val="clear" w:color="auto" w:fill="FFFFFF"/>
        </w:rPr>
      </w:pPr>
      <w:r w:rsidRPr="006756EC">
        <w:rPr>
          <w:color w:val="222222"/>
          <w:shd w:val="clear" w:color="auto" w:fill="FFFFFF"/>
        </w:rPr>
        <w:t xml:space="preserve">Popova, S., Lange, S., </w:t>
      </w:r>
      <w:proofErr w:type="spellStart"/>
      <w:r w:rsidRPr="006756EC">
        <w:rPr>
          <w:color w:val="222222"/>
          <w:shd w:val="clear" w:color="auto" w:fill="FFFFFF"/>
        </w:rPr>
        <w:t>Burd</w:t>
      </w:r>
      <w:proofErr w:type="spellEnd"/>
      <w:r w:rsidRPr="006756EC">
        <w:rPr>
          <w:color w:val="222222"/>
          <w:shd w:val="clear" w:color="auto" w:fill="FFFFFF"/>
        </w:rPr>
        <w:t xml:space="preserve">, L., &amp; Rehm, J. (2014). Canadian children and youth in care: The cost of fetal alcohol spectrum disorder. </w:t>
      </w:r>
      <w:r w:rsidRPr="006756EC">
        <w:rPr>
          <w:i/>
          <w:color w:val="222222"/>
          <w:shd w:val="clear" w:color="auto" w:fill="FFFFFF"/>
        </w:rPr>
        <w:t>In Child &amp; Youth Care Forum 43</w:t>
      </w:r>
      <w:r w:rsidRPr="006756EC">
        <w:rPr>
          <w:color w:val="222222"/>
          <w:shd w:val="clear" w:color="auto" w:fill="FFFFFF"/>
        </w:rPr>
        <w:t>(1), 83-96.</w:t>
      </w:r>
    </w:p>
    <w:p w14:paraId="7C7EB841" w14:textId="77777777" w:rsidR="0062528A" w:rsidRDefault="0062528A" w:rsidP="0062528A">
      <w:pPr>
        <w:spacing w:after="0" w:line="480" w:lineRule="auto"/>
        <w:ind w:left="720" w:hanging="720"/>
        <w:rPr>
          <w:color w:val="222222"/>
          <w:shd w:val="clear" w:color="auto" w:fill="FFFFFF"/>
        </w:rPr>
      </w:pPr>
      <w:r w:rsidRPr="007A77AD">
        <w:rPr>
          <w:color w:val="222222"/>
          <w:shd w:val="clear" w:color="auto" w:fill="FFFFFF"/>
        </w:rPr>
        <w:t xml:space="preserve">Popova, S., Lange, S., Shield, K., </w:t>
      </w:r>
      <w:proofErr w:type="spellStart"/>
      <w:r w:rsidRPr="007A77AD">
        <w:rPr>
          <w:color w:val="222222"/>
          <w:shd w:val="clear" w:color="auto" w:fill="FFFFFF"/>
        </w:rPr>
        <w:t>Mihic</w:t>
      </w:r>
      <w:proofErr w:type="spellEnd"/>
      <w:r w:rsidRPr="007A77AD">
        <w:rPr>
          <w:color w:val="222222"/>
          <w:shd w:val="clear" w:color="auto" w:fill="FFFFFF"/>
        </w:rPr>
        <w:t xml:space="preserve">, A., </w:t>
      </w:r>
      <w:proofErr w:type="spellStart"/>
      <w:r w:rsidRPr="007A77AD">
        <w:rPr>
          <w:color w:val="222222"/>
          <w:shd w:val="clear" w:color="auto" w:fill="FFFFFF"/>
        </w:rPr>
        <w:t>Chudley</w:t>
      </w:r>
      <w:proofErr w:type="spellEnd"/>
      <w:r w:rsidRPr="007A77AD">
        <w:rPr>
          <w:color w:val="222222"/>
          <w:shd w:val="clear" w:color="auto" w:fill="FFFFFF"/>
        </w:rPr>
        <w:t xml:space="preserve">, A. E., Mukherjee, R. A., </w:t>
      </w:r>
      <w:proofErr w:type="spellStart"/>
      <w:r w:rsidRPr="007A77AD">
        <w:rPr>
          <w:color w:val="222222"/>
          <w:shd w:val="clear" w:color="auto" w:fill="FFFFFF"/>
        </w:rPr>
        <w:t>Bekmuradov</w:t>
      </w:r>
      <w:proofErr w:type="spellEnd"/>
      <w:r w:rsidRPr="007A77AD">
        <w:rPr>
          <w:color w:val="222222"/>
          <w:shd w:val="clear" w:color="auto" w:fill="FFFFFF"/>
        </w:rPr>
        <w:t xml:space="preserve">, D., &amp; Rehm, J. (2016). Comorbidity of fetal alcohol spectrum disorder: A systematic review and meta-analysis. </w:t>
      </w:r>
      <w:r w:rsidRPr="007A77AD">
        <w:rPr>
          <w:i/>
          <w:color w:val="222222"/>
          <w:shd w:val="clear" w:color="auto" w:fill="FFFFFF"/>
        </w:rPr>
        <w:t>The Lancet, 387</w:t>
      </w:r>
      <w:r w:rsidRPr="007A77AD">
        <w:rPr>
          <w:color w:val="222222"/>
          <w:shd w:val="clear" w:color="auto" w:fill="FFFFFF"/>
        </w:rPr>
        <w:t>(10022), 978-987.</w:t>
      </w:r>
    </w:p>
    <w:p w14:paraId="246F9897" w14:textId="77777777" w:rsidR="0062528A" w:rsidRPr="00EE138E" w:rsidRDefault="0062528A" w:rsidP="0062528A">
      <w:pPr>
        <w:spacing w:after="0" w:line="480" w:lineRule="auto"/>
        <w:ind w:left="720" w:hanging="720"/>
        <w:rPr>
          <w:color w:val="222222"/>
          <w:shd w:val="clear" w:color="auto" w:fill="FFFFFF"/>
        </w:rPr>
      </w:pPr>
      <w:r w:rsidRPr="000C4C03">
        <w:rPr>
          <w:color w:val="222222"/>
          <w:shd w:val="clear" w:color="auto" w:fill="FFFFFF"/>
        </w:rPr>
        <w:t xml:space="preserve">Rasmussen, C., Benz, J., Pei, J., Andrew, G., Schuller, G., Abele-Webster, L., Alton, C., </w:t>
      </w:r>
      <w:r w:rsidRPr="000C4C03">
        <w:rPr>
          <w:color w:val="222222"/>
          <w:shd w:val="clear" w:color="auto" w:fill="FFFFFF"/>
        </w:rPr>
        <w:tab/>
        <w:t xml:space="preserve">&amp; Lord, L. (2010). The impact of an ADHD co-morbidity on the diagnosis of FASD. </w:t>
      </w:r>
      <w:r w:rsidRPr="000C4C03">
        <w:rPr>
          <w:i/>
          <w:color w:val="222222"/>
          <w:shd w:val="clear" w:color="auto" w:fill="FFFFFF"/>
        </w:rPr>
        <w:t>Journal of Population Therapeutics and Clinical Pharmacology</w:t>
      </w:r>
      <w:r>
        <w:rPr>
          <w:i/>
          <w:color w:val="222222"/>
          <w:shd w:val="clear" w:color="auto" w:fill="FFFFFF"/>
        </w:rPr>
        <w:t>,</w:t>
      </w:r>
      <w:r w:rsidRPr="000C4C03">
        <w:rPr>
          <w:i/>
          <w:color w:val="222222"/>
          <w:shd w:val="clear" w:color="auto" w:fill="FFFFFF"/>
        </w:rPr>
        <w:t xml:space="preserve"> 17</w:t>
      </w:r>
      <w:r w:rsidRPr="000C4C03">
        <w:rPr>
          <w:color w:val="222222"/>
          <w:shd w:val="clear" w:color="auto" w:fill="FFFFFF"/>
        </w:rPr>
        <w:t xml:space="preserve">(1), e165-e176.  </w:t>
      </w:r>
    </w:p>
    <w:p w14:paraId="683D9FCF" w14:textId="12BF162A" w:rsidR="0062528A" w:rsidRDefault="0062528A" w:rsidP="0062528A">
      <w:pPr>
        <w:spacing w:after="0" w:line="480" w:lineRule="auto"/>
        <w:ind w:left="720" w:hanging="720"/>
        <w:rPr>
          <w:color w:val="222222"/>
          <w:shd w:val="clear" w:color="auto" w:fill="FFFFFF"/>
        </w:rPr>
      </w:pPr>
      <w:r w:rsidRPr="00EE138E">
        <w:rPr>
          <w:color w:val="222222"/>
          <w:shd w:val="clear" w:color="auto" w:fill="FFFFFF"/>
        </w:rPr>
        <w:lastRenderedPageBreak/>
        <w:t>Riley, E. P., Infante, M. A., &amp; Warren, K. R. (2011). Fetal alcohol spectrum disorders: An overview. </w:t>
      </w:r>
      <w:r w:rsidRPr="00EE138E">
        <w:rPr>
          <w:i/>
          <w:iCs/>
          <w:color w:val="222222"/>
          <w:shd w:val="clear" w:color="auto" w:fill="FFFFFF"/>
        </w:rPr>
        <w:t xml:space="preserve">Neuropsychology </w:t>
      </w:r>
      <w:r w:rsidR="005F37B7">
        <w:rPr>
          <w:i/>
          <w:iCs/>
          <w:color w:val="222222"/>
          <w:shd w:val="clear" w:color="auto" w:fill="FFFFFF"/>
        </w:rPr>
        <w:t>R</w:t>
      </w:r>
      <w:r w:rsidRPr="00EE138E">
        <w:rPr>
          <w:i/>
          <w:iCs/>
          <w:color w:val="222222"/>
          <w:shd w:val="clear" w:color="auto" w:fill="FFFFFF"/>
        </w:rPr>
        <w:t>eview</w:t>
      </w:r>
      <w:r w:rsidRPr="00EE138E">
        <w:rPr>
          <w:color w:val="222222"/>
          <w:shd w:val="clear" w:color="auto" w:fill="FFFFFF"/>
        </w:rPr>
        <w:t>, </w:t>
      </w:r>
      <w:r w:rsidRPr="00EE138E">
        <w:rPr>
          <w:i/>
          <w:iCs/>
          <w:color w:val="222222"/>
          <w:shd w:val="clear" w:color="auto" w:fill="FFFFFF"/>
        </w:rPr>
        <w:t>21</w:t>
      </w:r>
      <w:r w:rsidRPr="00EE138E">
        <w:rPr>
          <w:color w:val="222222"/>
          <w:shd w:val="clear" w:color="auto" w:fill="FFFFFF"/>
        </w:rPr>
        <w:t>(2), 73-84.</w:t>
      </w:r>
    </w:p>
    <w:p w14:paraId="1F28C8EE" w14:textId="77777777" w:rsidR="0062528A" w:rsidRPr="00EE138E" w:rsidRDefault="0062528A" w:rsidP="0062528A">
      <w:pPr>
        <w:spacing w:after="0" w:line="480" w:lineRule="auto"/>
        <w:ind w:left="720" w:hanging="720"/>
        <w:rPr>
          <w:color w:val="222222"/>
          <w:shd w:val="clear" w:color="auto" w:fill="FFFFFF"/>
        </w:rPr>
      </w:pPr>
      <w:r w:rsidRPr="009E12F9">
        <w:rPr>
          <w:color w:val="222222"/>
          <w:shd w:val="clear" w:color="auto" w:fill="FFFFFF"/>
        </w:rPr>
        <w:t xml:space="preserve">Riley, E.P., McGee, C.L. (2005). Fetal alcohol spectrum disorders: An overview with emphasis on changes in brain and behavior. </w:t>
      </w:r>
      <w:r w:rsidRPr="009E12F9">
        <w:rPr>
          <w:i/>
          <w:color w:val="222222"/>
          <w:shd w:val="clear" w:color="auto" w:fill="FFFFFF"/>
        </w:rPr>
        <w:t>Experimental Biology and Medicine, 230,</w:t>
      </w:r>
      <w:r w:rsidRPr="009E12F9">
        <w:rPr>
          <w:color w:val="222222"/>
          <w:shd w:val="clear" w:color="auto" w:fill="FFFFFF"/>
        </w:rPr>
        <w:t xml:space="preserve"> 357-365.</w:t>
      </w:r>
    </w:p>
    <w:p w14:paraId="7AB1082E" w14:textId="77777777" w:rsidR="0062528A" w:rsidRDefault="0062528A" w:rsidP="0062528A">
      <w:pPr>
        <w:pStyle w:val="paragraph"/>
        <w:spacing w:before="0" w:beforeAutospacing="0" w:after="0" w:afterAutospacing="0" w:line="480" w:lineRule="auto"/>
        <w:ind w:left="720" w:hanging="720"/>
        <w:textAlignment w:val="baseline"/>
        <w:rPr>
          <w:rStyle w:val="eop"/>
        </w:rPr>
      </w:pPr>
      <w:proofErr w:type="spellStart"/>
      <w:r w:rsidRPr="00EE138E">
        <w:rPr>
          <w:rStyle w:val="spellingerror"/>
          <w:color w:val="222222"/>
        </w:rPr>
        <w:t>Terband</w:t>
      </w:r>
      <w:proofErr w:type="spellEnd"/>
      <w:r w:rsidRPr="00EE138E">
        <w:rPr>
          <w:rStyle w:val="normaltextrun"/>
          <w:color w:val="222222"/>
        </w:rPr>
        <w:t>, H., Spruit, M., &amp; </w:t>
      </w:r>
      <w:proofErr w:type="spellStart"/>
      <w:r w:rsidRPr="00EE138E">
        <w:rPr>
          <w:rStyle w:val="normaltextrun"/>
          <w:color w:val="222222"/>
        </w:rPr>
        <w:t>Maassen</w:t>
      </w:r>
      <w:proofErr w:type="spellEnd"/>
      <w:r w:rsidRPr="00EE138E">
        <w:rPr>
          <w:rStyle w:val="normaltextrun"/>
          <w:color w:val="222222"/>
        </w:rPr>
        <w:t>, B. (2018). Speech impairment in boys </w:t>
      </w:r>
      <w:r w:rsidRPr="00EE138E">
        <w:rPr>
          <w:rStyle w:val="contextualspellingandgrammarerror"/>
          <w:rFonts w:eastAsiaTheme="majorEastAsia"/>
          <w:color w:val="222222"/>
        </w:rPr>
        <w:t>with</w:t>
      </w:r>
      <w:r w:rsidRPr="00EE138E">
        <w:rPr>
          <w:rStyle w:val="normaltextrun"/>
          <w:color w:val="222222"/>
        </w:rPr>
        <w:t xml:space="preserve"> fetal </w:t>
      </w:r>
      <w:r>
        <w:rPr>
          <w:rStyle w:val="normaltextrun"/>
          <w:color w:val="222222"/>
        </w:rPr>
        <w:t>a</w:t>
      </w:r>
      <w:r w:rsidRPr="00EE138E">
        <w:rPr>
          <w:rStyle w:val="normaltextrun"/>
          <w:color w:val="222222"/>
        </w:rPr>
        <w:t xml:space="preserve">lcohol spectrum disorders. </w:t>
      </w:r>
      <w:r w:rsidRPr="00EE138E">
        <w:rPr>
          <w:rStyle w:val="normaltextrun"/>
          <w:i/>
          <w:iCs/>
          <w:color w:val="222222"/>
        </w:rPr>
        <w:t>American Journal of Speech-Language Pathology, 27</w:t>
      </w:r>
      <w:r w:rsidRPr="00EE138E">
        <w:rPr>
          <w:rStyle w:val="normaltextrun"/>
          <w:color w:val="222222"/>
        </w:rPr>
        <w:t>(4), 1405-1425.</w:t>
      </w:r>
      <w:r w:rsidRPr="00EE138E">
        <w:rPr>
          <w:rStyle w:val="eop"/>
        </w:rPr>
        <w:t> </w:t>
      </w:r>
    </w:p>
    <w:p w14:paraId="7493D5FA" w14:textId="77777777" w:rsidR="0062528A" w:rsidRPr="00EE138E" w:rsidRDefault="0062528A" w:rsidP="0062528A">
      <w:pPr>
        <w:pStyle w:val="paragraph"/>
        <w:spacing w:before="0" w:beforeAutospacing="0" w:after="0" w:afterAutospacing="0" w:line="480" w:lineRule="auto"/>
        <w:ind w:left="720" w:hanging="720"/>
        <w:textAlignment w:val="baseline"/>
        <w:rPr>
          <w:rStyle w:val="eop"/>
        </w:rPr>
      </w:pPr>
      <w:r w:rsidRPr="00663096">
        <w:rPr>
          <w:rStyle w:val="eop"/>
        </w:rPr>
        <w:t xml:space="preserve">Thorne, J. C. (2017). Accentuate the negative: Grammatical errors during narrative production as a clinical marker of central nervous system abnormality in school-aged children with fetal alcohol spectrum disorders. </w:t>
      </w:r>
      <w:r w:rsidRPr="00663096">
        <w:rPr>
          <w:rStyle w:val="eop"/>
          <w:i/>
        </w:rPr>
        <w:t>Journal of Speech, Language, and Hearing Research, 60</w:t>
      </w:r>
      <w:r w:rsidRPr="00663096">
        <w:rPr>
          <w:rStyle w:val="eop"/>
        </w:rPr>
        <w:t>(12), 3523-3537.</w:t>
      </w:r>
    </w:p>
    <w:p w14:paraId="6684CF07" w14:textId="77777777" w:rsidR="0062528A" w:rsidRPr="00EE138E" w:rsidRDefault="0062528A" w:rsidP="0062528A">
      <w:pPr>
        <w:pStyle w:val="paragraph"/>
        <w:spacing w:before="0" w:beforeAutospacing="0" w:after="0" w:afterAutospacing="0" w:line="480" w:lineRule="auto"/>
        <w:ind w:left="720" w:hanging="720"/>
        <w:textAlignment w:val="baseline"/>
        <w:rPr>
          <w:rStyle w:val="eop"/>
        </w:rPr>
      </w:pPr>
      <w:r w:rsidRPr="00EE138E">
        <w:rPr>
          <w:rStyle w:val="normaltextrun"/>
          <w:color w:val="222222"/>
        </w:rPr>
        <w:t xml:space="preserve">Thorne, J. C., &amp; Coggins, T. E. (2016). Cohesive referencing errors during narrative production as clinical evidence of central nervous system abnormality in school-aged children with fetal alcohol spectrum disorders. </w:t>
      </w:r>
      <w:r w:rsidRPr="00EE138E">
        <w:rPr>
          <w:rStyle w:val="normaltextrun"/>
          <w:i/>
          <w:iCs/>
          <w:color w:val="222222"/>
        </w:rPr>
        <w:t>American Journal of Speech-Language Pathology, 25</w:t>
      </w:r>
      <w:r w:rsidRPr="00EE138E">
        <w:rPr>
          <w:rStyle w:val="normaltextrun"/>
          <w:color w:val="222222"/>
        </w:rPr>
        <w:t>(4), 532-546.</w:t>
      </w:r>
      <w:r w:rsidRPr="00EE138E">
        <w:rPr>
          <w:rStyle w:val="eop"/>
        </w:rPr>
        <w:t> </w:t>
      </w:r>
    </w:p>
    <w:p w14:paraId="10073F73" w14:textId="77777777" w:rsidR="0062528A" w:rsidRPr="00EE138E" w:rsidRDefault="0062528A" w:rsidP="0062528A">
      <w:pPr>
        <w:spacing w:after="0" w:line="480" w:lineRule="auto"/>
        <w:ind w:left="720" w:hanging="720"/>
        <w:rPr>
          <w:color w:val="222222"/>
          <w:shd w:val="clear" w:color="auto" w:fill="FFFFFF"/>
        </w:rPr>
      </w:pPr>
      <w:proofErr w:type="spellStart"/>
      <w:r w:rsidRPr="00EE138E">
        <w:rPr>
          <w:color w:val="222222"/>
          <w:shd w:val="clear" w:color="auto" w:fill="FFFFFF"/>
        </w:rPr>
        <w:t>Vaurio</w:t>
      </w:r>
      <w:proofErr w:type="spellEnd"/>
      <w:r w:rsidRPr="00EE138E">
        <w:rPr>
          <w:color w:val="222222"/>
          <w:shd w:val="clear" w:color="auto" w:fill="FFFFFF"/>
        </w:rPr>
        <w:t>, L., Riley, E. P., &amp; Mattson, S. N. (2008). Differences in executive functioning in children with heavy prenatal alcohol exposure or attention-deficit/hyperactivity disorder. </w:t>
      </w:r>
      <w:r w:rsidRPr="00EE138E">
        <w:rPr>
          <w:i/>
          <w:iCs/>
          <w:color w:val="222222"/>
          <w:shd w:val="clear" w:color="auto" w:fill="FFFFFF"/>
        </w:rPr>
        <w:t>Journal of the International Neuropsychological Society</w:t>
      </w:r>
      <w:r w:rsidRPr="00EE138E">
        <w:rPr>
          <w:color w:val="222222"/>
          <w:shd w:val="clear" w:color="auto" w:fill="FFFFFF"/>
        </w:rPr>
        <w:t>, </w:t>
      </w:r>
      <w:r w:rsidRPr="00EE138E">
        <w:rPr>
          <w:i/>
          <w:iCs/>
          <w:color w:val="222222"/>
          <w:shd w:val="clear" w:color="auto" w:fill="FFFFFF"/>
        </w:rPr>
        <w:t>14</w:t>
      </w:r>
      <w:r w:rsidRPr="00EE138E">
        <w:rPr>
          <w:color w:val="222222"/>
          <w:shd w:val="clear" w:color="auto" w:fill="FFFFFF"/>
        </w:rPr>
        <w:t>(1), 119-129.</w:t>
      </w:r>
    </w:p>
    <w:p w14:paraId="0119D494" w14:textId="77777777" w:rsidR="0062528A" w:rsidRPr="00EE138E" w:rsidRDefault="0062528A" w:rsidP="0062528A">
      <w:pPr>
        <w:spacing w:after="0" w:line="480" w:lineRule="auto"/>
        <w:ind w:left="720" w:hanging="720"/>
      </w:pPr>
      <w:proofErr w:type="spellStart"/>
      <w:r w:rsidRPr="00EE138E">
        <w:t>Wilhoit</w:t>
      </w:r>
      <w:proofErr w:type="spellEnd"/>
      <w:r w:rsidRPr="00EE138E">
        <w:t xml:space="preserve">, L.F., Scott, D.A., </w:t>
      </w:r>
      <w:proofErr w:type="spellStart"/>
      <w:r w:rsidRPr="00EE138E">
        <w:t>Simecka</w:t>
      </w:r>
      <w:proofErr w:type="spellEnd"/>
      <w:r w:rsidRPr="00EE138E">
        <w:t xml:space="preserve">, B.A. (2017) Fetal alcohol spectrum disorders: Characteristics, complications, and treatment. </w:t>
      </w:r>
      <w:r w:rsidRPr="00EE138E">
        <w:rPr>
          <w:i/>
          <w:iCs/>
        </w:rPr>
        <w:t xml:space="preserve">Community Mental Health Journal, 53, </w:t>
      </w:r>
      <w:r w:rsidRPr="00EE138E">
        <w:t>711-718.</w:t>
      </w:r>
    </w:p>
    <w:p w14:paraId="56FCF546" w14:textId="77777777" w:rsidR="0062528A" w:rsidRPr="00D2569F" w:rsidRDefault="0062528A" w:rsidP="0062528A">
      <w:pPr>
        <w:spacing w:line="480" w:lineRule="auto"/>
        <w:ind w:left="720" w:hanging="720"/>
      </w:pPr>
    </w:p>
    <w:p w14:paraId="5394BD85" w14:textId="77777777" w:rsidR="001640E1" w:rsidRDefault="001640E1" w:rsidP="002526CC">
      <w:pPr>
        <w:widowControl/>
        <w:spacing w:after="0" w:line="480" w:lineRule="auto"/>
        <w:ind w:left="720" w:hanging="720"/>
      </w:pPr>
    </w:p>
    <w:p w14:paraId="0C378637" w14:textId="43FA448A" w:rsidR="001640E1" w:rsidRPr="007979F9" w:rsidRDefault="00132AAD" w:rsidP="0062528A">
      <w:pPr>
        <w:spacing w:line="240" w:lineRule="auto"/>
        <w:ind w:firstLine="0"/>
      </w:pPr>
      <w:r>
        <w:rPr>
          <w:noProof/>
        </w:rPr>
        <w:lastRenderedPageBreak/>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w:t>
      </w:r>
      <w:r w:rsidR="00403C8A" w:rsidRPr="00403C8A">
        <w:rPr>
          <w:b/>
          <w:bCs/>
        </w:rPr>
        <w:t>An Interdisciplinary Approach to Increasing Access to Care for Individuals with Fetal Alcohol Spectrum Disorders</w:t>
      </w:r>
      <w:r w:rsidR="00403C8A" w:rsidRPr="00403C8A">
        <w:t xml:space="preserve"> </w:t>
      </w:r>
      <w:hyperlink r:id="rId8" w:history="1">
        <w:r w:rsidR="0062528A">
          <w:rPr>
            <w:rStyle w:val="Hyperlink"/>
            <w:lang w:val="haw-US"/>
          </w:rPr>
          <w:t>https://rdsjournal.org/index.php/journal/article/view/1172</w:t>
        </w:r>
      </w:hyperlink>
      <w:r w:rsidRPr="007979F9">
        <w:t xml:space="preserve"> is licensed under a</w:t>
      </w:r>
      <w:hyperlink r:id="rId9">
        <w:r w:rsidRPr="007979F9">
          <w:t xml:space="preserve"> </w:t>
        </w:r>
      </w:hyperlink>
      <w:hyperlink r:id="rId10">
        <w:r w:rsidRPr="007979F9">
          <w:rPr>
            <w:color w:val="1155CC"/>
            <w:u w:val="single"/>
          </w:rPr>
          <w:t>Creative Commons Attribution 4.0 International License</w:t>
        </w:r>
      </w:hyperlink>
      <w:r w:rsidRPr="007979F9">
        <w:t>. Based on a work at</w:t>
      </w:r>
      <w:hyperlink r:id="rId11">
        <w:r w:rsidRPr="007979F9">
          <w:t xml:space="preserve"> </w:t>
        </w:r>
      </w:hyperlink>
      <w:hyperlink r:id="rId12">
        <w:r w:rsidRPr="007979F9">
          <w:rPr>
            <w:color w:val="1155CC"/>
            <w:u w:val="single"/>
          </w:rPr>
          <w:t>https://rdsjournal.org</w:t>
        </w:r>
      </w:hyperlink>
      <w:r w:rsidRPr="007979F9">
        <w:t>.</w:t>
      </w:r>
    </w:p>
    <w:sectPr w:rsidR="001640E1" w:rsidRPr="007979F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70E57" w14:textId="77777777" w:rsidR="006D7529" w:rsidRDefault="006D7529">
      <w:pPr>
        <w:spacing w:after="0" w:line="240" w:lineRule="auto"/>
      </w:pPr>
      <w:r>
        <w:separator/>
      </w:r>
    </w:p>
  </w:endnote>
  <w:endnote w:type="continuationSeparator" w:id="0">
    <w:p w14:paraId="3B6D5611" w14:textId="77777777" w:rsidR="006D7529" w:rsidRDefault="006D7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48C9" w14:textId="77777777" w:rsidR="00CB0F3E" w:rsidRDefault="00CB0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849C7" w14:textId="77777777" w:rsidR="006D7529" w:rsidRDefault="006D7529">
      <w:pPr>
        <w:spacing w:after="0" w:line="240" w:lineRule="auto"/>
      </w:pPr>
      <w:r>
        <w:separator/>
      </w:r>
    </w:p>
  </w:footnote>
  <w:footnote w:type="continuationSeparator" w:id="0">
    <w:p w14:paraId="089B0C2A" w14:textId="77777777" w:rsidR="006D7529" w:rsidRDefault="006D7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1921CE61"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026BF7">
            <w:rPr>
              <w:rFonts w:ascii="Arial" w:eastAsia="Arial" w:hAnsi="Arial" w:cs="Arial"/>
              <w:b/>
              <w:color w:val="FFFFFF"/>
              <w:lang w:val="haw-US"/>
            </w:rPr>
            <w:t>8</w:t>
          </w:r>
          <w:r>
            <w:rPr>
              <w:rFonts w:ascii="Arial" w:eastAsia="Arial" w:hAnsi="Arial" w:cs="Arial"/>
              <w:b/>
              <w:color w:val="FFFFFF"/>
            </w:rPr>
            <w:t xml:space="preserve"> Issue </w:t>
          </w:r>
          <w:r w:rsidR="006D4852">
            <w:rPr>
              <w:rFonts w:ascii="Arial" w:eastAsia="Arial" w:hAnsi="Arial" w:cs="Arial"/>
              <w:b/>
              <w:color w:val="FFFFFF"/>
            </w:rPr>
            <w:t>3</w:t>
          </w:r>
        </w:p>
        <w:p w14:paraId="061AA638" w14:textId="28FDD011" w:rsidR="001640E1" w:rsidRPr="00026BF7" w:rsidRDefault="00026BF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lang w:val="haw-US"/>
            </w:rPr>
            <w:t xml:space="preserve">Winter </w:t>
          </w:r>
          <w:r w:rsidR="00132AAD">
            <w:rPr>
              <w:rFonts w:ascii="Arial" w:eastAsia="Arial" w:hAnsi="Arial" w:cs="Arial"/>
              <w:b/>
              <w:color w:val="FFFFFF"/>
            </w:rPr>
            <w:t>202</w:t>
          </w:r>
          <w:r>
            <w:rPr>
              <w:rFonts w:ascii="Arial" w:eastAsia="Arial" w:hAnsi="Arial" w:cs="Arial"/>
              <w:b/>
              <w:color w:val="FFFFFF"/>
              <w:lang w:val="haw-US"/>
            </w:rPr>
            <w:t>3</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3701132">
    <w:abstractNumId w:val="1"/>
  </w:num>
  <w:num w:numId="2" w16cid:durableId="57368923">
    <w:abstractNumId w:val="0"/>
  </w:num>
  <w:num w:numId="3" w16cid:durableId="1885096274">
    <w:abstractNumId w:val="3"/>
  </w:num>
  <w:num w:numId="4" w16cid:durableId="1166241189">
    <w:abstractNumId w:val="2"/>
  </w:num>
  <w:num w:numId="5" w16cid:durableId="676226801">
    <w:abstractNumId w:val="4"/>
  </w:num>
  <w:num w:numId="6" w16cid:durableId="78405583">
    <w:abstractNumId w:val="5"/>
  </w:num>
  <w:num w:numId="7" w16cid:durableId="3174479">
    <w:abstractNumId w:val="6"/>
  </w:num>
  <w:num w:numId="8" w16cid:durableId="828597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64805"/>
    <w:rsid w:val="000B7C09"/>
    <w:rsid w:val="00116F1B"/>
    <w:rsid w:val="00132AAD"/>
    <w:rsid w:val="001640E1"/>
    <w:rsid w:val="00164FC2"/>
    <w:rsid w:val="001A3614"/>
    <w:rsid w:val="00202F59"/>
    <w:rsid w:val="002130E2"/>
    <w:rsid w:val="00251EB5"/>
    <w:rsid w:val="002526CC"/>
    <w:rsid w:val="002E4A02"/>
    <w:rsid w:val="00341AF7"/>
    <w:rsid w:val="00382B19"/>
    <w:rsid w:val="00387428"/>
    <w:rsid w:val="00403C8A"/>
    <w:rsid w:val="00404890"/>
    <w:rsid w:val="00410A25"/>
    <w:rsid w:val="00412B25"/>
    <w:rsid w:val="00457D97"/>
    <w:rsid w:val="00492423"/>
    <w:rsid w:val="004A1CA5"/>
    <w:rsid w:val="0054339D"/>
    <w:rsid w:val="00551549"/>
    <w:rsid w:val="00555218"/>
    <w:rsid w:val="005B3474"/>
    <w:rsid w:val="005B6FF1"/>
    <w:rsid w:val="005D1C6E"/>
    <w:rsid w:val="005F37B7"/>
    <w:rsid w:val="0062528A"/>
    <w:rsid w:val="00663B80"/>
    <w:rsid w:val="006D4852"/>
    <w:rsid w:val="006D7529"/>
    <w:rsid w:val="00717A41"/>
    <w:rsid w:val="00761F9E"/>
    <w:rsid w:val="007772FE"/>
    <w:rsid w:val="007979F9"/>
    <w:rsid w:val="007E2E37"/>
    <w:rsid w:val="00822678"/>
    <w:rsid w:val="008C170C"/>
    <w:rsid w:val="008D07E6"/>
    <w:rsid w:val="00936F16"/>
    <w:rsid w:val="00991D31"/>
    <w:rsid w:val="00993883"/>
    <w:rsid w:val="009B5AAA"/>
    <w:rsid w:val="00A02763"/>
    <w:rsid w:val="00A06325"/>
    <w:rsid w:val="00A149D4"/>
    <w:rsid w:val="00A2427F"/>
    <w:rsid w:val="00A83492"/>
    <w:rsid w:val="00A85B56"/>
    <w:rsid w:val="00B0657D"/>
    <w:rsid w:val="00B7297D"/>
    <w:rsid w:val="00BE13B5"/>
    <w:rsid w:val="00CB0F3E"/>
    <w:rsid w:val="00D22F4D"/>
    <w:rsid w:val="00D377FC"/>
    <w:rsid w:val="00D97638"/>
    <w:rsid w:val="00DC24BA"/>
    <w:rsid w:val="00E767B5"/>
    <w:rsid w:val="00E845EB"/>
    <w:rsid w:val="00E94B9B"/>
    <w:rsid w:val="00E95A88"/>
    <w:rsid w:val="00F43684"/>
    <w:rsid w:val="00FA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117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dsjournal.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reativecommons.org/licenses/by/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17</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5</cp:revision>
  <dcterms:created xsi:type="dcterms:W3CDTF">2023-03-05T22:40:00Z</dcterms:created>
  <dcterms:modified xsi:type="dcterms:W3CDTF">2023-03-06T02:31:00Z</dcterms:modified>
</cp:coreProperties>
</file>