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80E34F" w14:textId="77777777" w:rsidR="009766F5" w:rsidRPr="00791FDF" w:rsidRDefault="009766F5" w:rsidP="00791FDF">
      <w:pPr>
        <w:spacing w:line="480" w:lineRule="auto"/>
      </w:pPr>
    </w:p>
    <w:p w14:paraId="28AE9D10" w14:textId="77777777" w:rsidR="00B0002D" w:rsidRPr="00220C2B" w:rsidRDefault="00B0002D" w:rsidP="00220C2B">
      <w:pPr>
        <w:pStyle w:val="Heading1"/>
      </w:pPr>
    </w:p>
    <w:p w14:paraId="098906D6" w14:textId="00713FDE" w:rsidR="00B56745" w:rsidRPr="00220C2B" w:rsidRDefault="00806F06" w:rsidP="00220C2B">
      <w:pPr>
        <w:pStyle w:val="Heading1"/>
        <w:rPr>
          <w:rFonts w:ascii="Arial" w:hAnsi="Arial"/>
        </w:rPr>
      </w:pPr>
      <w:r w:rsidRPr="00220C2B">
        <w:rPr>
          <w:rFonts w:ascii="Arial" w:hAnsi="Arial"/>
        </w:rPr>
        <w:t>Research Articles and Essays</w:t>
      </w:r>
      <w:r w:rsidR="00B0002D" w:rsidRPr="00220C2B">
        <w:rPr>
          <w:rFonts w:ascii="Arial" w:hAnsi="Arial"/>
        </w:rPr>
        <w:br/>
      </w:r>
    </w:p>
    <w:p w14:paraId="26DC37FA" w14:textId="77777777" w:rsidR="00B67833" w:rsidRDefault="00B67833" w:rsidP="00B67833"/>
    <w:p w14:paraId="695C3554" w14:textId="77777777" w:rsidR="00B67833" w:rsidRDefault="00B67833" w:rsidP="00B67833">
      <w:pPr>
        <w:pStyle w:val="APALevel0"/>
        <w:rPr>
          <w:b/>
          <w:bCs/>
        </w:rPr>
      </w:pPr>
      <w:r w:rsidRPr="00B67833">
        <w:rPr>
          <w:b/>
          <w:bCs/>
        </w:rPr>
        <w:t>My Life, My Words: Postsecondary Transition Outcomes for Young Adults with Intellectual &amp; Developmental Disabilities</w:t>
      </w:r>
    </w:p>
    <w:p w14:paraId="352F9B84" w14:textId="77777777" w:rsidR="00B6025B" w:rsidRPr="00B67833" w:rsidRDefault="00B6025B" w:rsidP="00B67833">
      <w:pPr>
        <w:pStyle w:val="APALevel0"/>
        <w:rPr>
          <w:b/>
          <w:bCs/>
        </w:rPr>
      </w:pPr>
    </w:p>
    <w:p w14:paraId="3B7EEC0F" w14:textId="699A4FED" w:rsidR="00704235" w:rsidRDefault="00B6025B" w:rsidP="00856A97">
      <w:pPr>
        <w:spacing w:after="0" w:line="480" w:lineRule="auto"/>
        <w:ind w:firstLine="0"/>
        <w:jc w:val="center"/>
        <w:rPr>
          <w:vertAlign w:val="superscript"/>
        </w:rPr>
      </w:pPr>
      <w:r>
        <w:t>Eric Sarrett</w:t>
      </w:r>
    </w:p>
    <w:p w14:paraId="5A9BCED7" w14:textId="6E2A58B7" w:rsidR="00B6025B" w:rsidRPr="00B6025B" w:rsidRDefault="00B81BD7" w:rsidP="00856A97">
      <w:pPr>
        <w:spacing w:line="480" w:lineRule="auto"/>
        <w:ind w:firstLine="0"/>
        <w:jc w:val="center"/>
      </w:pPr>
      <w:r>
        <w:t>Walden University</w:t>
      </w:r>
    </w:p>
    <w:p w14:paraId="72699567" w14:textId="77777777" w:rsidR="00B67833" w:rsidRDefault="00B67833" w:rsidP="00B67833">
      <w:pPr>
        <w:rPr>
          <w:rFonts w:eastAsia="Calibri"/>
          <w:lang w:eastAsia="en-US"/>
        </w:rPr>
      </w:pPr>
    </w:p>
    <w:p w14:paraId="2EAAFE74" w14:textId="77777777" w:rsidR="00856A97" w:rsidRPr="00B67833" w:rsidRDefault="00856A97" w:rsidP="00B67833"/>
    <w:p w14:paraId="25BB1736" w14:textId="77777777" w:rsidR="00B67833" w:rsidRPr="00331744" w:rsidRDefault="00B67833" w:rsidP="00B67833">
      <w:pPr>
        <w:pStyle w:val="APALevel1"/>
      </w:pPr>
      <w:r w:rsidRPr="00331744">
        <w:t>Abstract</w:t>
      </w:r>
    </w:p>
    <w:p w14:paraId="15764292" w14:textId="53FC9FC5" w:rsidR="00B67833" w:rsidRDefault="00B67833" w:rsidP="00B67833">
      <w:pPr>
        <w:pStyle w:val="BodyParagraph"/>
        <w:ind w:firstLine="0"/>
      </w:pPr>
      <w:r w:rsidRPr="00331744">
        <w:t>Young adults with intellectual and developmental disabilities</w:t>
      </w:r>
      <w:r>
        <w:t xml:space="preserve"> (IDD)</w:t>
      </w:r>
      <w:r w:rsidR="00856A97">
        <w:t xml:space="preserve"> </w:t>
      </w:r>
      <w:r w:rsidRPr="00331744">
        <w:t xml:space="preserve">struggle </w:t>
      </w:r>
      <w:r>
        <w:t>to integrate into their communities after</w:t>
      </w:r>
      <w:r w:rsidRPr="00331744">
        <w:t xml:space="preserve"> postsecondary transition</w:t>
      </w:r>
      <w:r>
        <w:t xml:space="preserve"> despite decades of policy and research initiatives, and</w:t>
      </w:r>
      <w:r w:rsidRPr="00331744">
        <w:t xml:space="preserve"> </w:t>
      </w:r>
      <w:r>
        <w:t>few studies explore adult role participation outside the home from their perspectives</w:t>
      </w:r>
      <w:r w:rsidRPr="00331744">
        <w:t xml:space="preserve">. </w:t>
      </w:r>
      <w:r>
        <w:t xml:space="preserve">This study employed narrative inquiry grounded in critical disability theory to enable young adults with IDD to conceptualize community integration in their own words.  </w:t>
      </w:r>
      <w:bookmarkStart w:id="0" w:name="Dedication"/>
      <w:bookmarkEnd w:id="0"/>
    </w:p>
    <w:p w14:paraId="74E4873E" w14:textId="499104DB" w:rsidR="00B67833" w:rsidRDefault="00B67833" w:rsidP="00B67833">
      <w:pPr>
        <w:pStyle w:val="BodyParagraph"/>
      </w:pPr>
      <w:r w:rsidRPr="00B67833">
        <w:rPr>
          <w:i/>
          <w:iCs/>
        </w:rPr>
        <w:t>Keywords:</w:t>
      </w:r>
      <w:r>
        <w:t xml:space="preserve"> intellectual and development disabilities, postsecondary transition, community integration</w:t>
      </w:r>
    </w:p>
    <w:p w14:paraId="7635ECC5" w14:textId="77777777" w:rsidR="00B0002D" w:rsidRPr="00791FDF" w:rsidRDefault="00B0002D" w:rsidP="00791FDF">
      <w:pPr>
        <w:spacing w:line="480" w:lineRule="auto"/>
        <w:rPr>
          <w:b/>
        </w:rPr>
      </w:pPr>
    </w:p>
    <w:p w14:paraId="2DC49A1A" w14:textId="77777777" w:rsidR="00044E2E" w:rsidRDefault="00044E2E" w:rsidP="00791FDF">
      <w:pPr>
        <w:spacing w:line="480" w:lineRule="auto"/>
        <w:rPr>
          <w:b/>
          <w:bCs/>
        </w:rPr>
      </w:pPr>
      <w:bookmarkStart w:id="1" w:name="_Toc331105573"/>
      <w:bookmarkStart w:id="2" w:name="_Toc331149188"/>
      <w:bookmarkStart w:id="3" w:name="_Toc371364175"/>
    </w:p>
    <w:p w14:paraId="24AACC18" w14:textId="4445CF38" w:rsidR="00682F63" w:rsidRDefault="00856A97" w:rsidP="00856A97">
      <w:pPr>
        <w:spacing w:line="480" w:lineRule="auto"/>
        <w:ind w:firstLine="0"/>
        <w:rPr>
          <w:b/>
          <w:bCs/>
        </w:rPr>
      </w:pPr>
      <w:r>
        <w:rPr>
          <w:b/>
          <w:bCs/>
        </w:rPr>
        <w:br/>
      </w:r>
    </w:p>
    <w:p w14:paraId="39BEC06A" w14:textId="77777777" w:rsidR="00825E92" w:rsidRDefault="00825E92" w:rsidP="00825E92">
      <w:pPr>
        <w:pStyle w:val="APALevel0"/>
        <w:rPr>
          <w:b/>
          <w:bCs/>
        </w:rPr>
      </w:pPr>
      <w:r w:rsidRPr="00B67833">
        <w:rPr>
          <w:b/>
          <w:bCs/>
        </w:rPr>
        <w:t>My Life, My Words: Postsecondary Transition Outcomes for Young Adults with Intellectual &amp; Developmental Disabilities</w:t>
      </w:r>
    </w:p>
    <w:p w14:paraId="7C0499D1" w14:textId="2FBB9D13" w:rsidR="00291717" w:rsidRPr="00331744" w:rsidRDefault="00291717" w:rsidP="00291717">
      <w:pPr>
        <w:pStyle w:val="BodyParagraph"/>
      </w:pPr>
      <w:r>
        <w:t>Assuming adult roles upon leaving school is perhaps the most challenging transition in a lifetime, yet this journey</w:t>
      </w:r>
      <w:r w:rsidRPr="00331744">
        <w:t xml:space="preserve"> </w:t>
      </w:r>
      <w:r>
        <w:t>is</w:t>
      </w:r>
      <w:r w:rsidRPr="00331744">
        <w:t xml:space="preserve"> </w:t>
      </w:r>
      <w:r>
        <w:t>especially</w:t>
      </w:r>
      <w:r w:rsidRPr="00331744">
        <w:t xml:space="preserve"> </w:t>
      </w:r>
      <w:r>
        <w:t>perilous</w:t>
      </w:r>
      <w:r w:rsidRPr="00331744">
        <w:t xml:space="preserve"> </w:t>
      </w:r>
      <w:r>
        <w:t>for students</w:t>
      </w:r>
      <w:r w:rsidRPr="00331744">
        <w:t xml:space="preserve"> </w:t>
      </w:r>
      <w:r w:rsidR="00442AFE">
        <w:t>who</w:t>
      </w:r>
      <w:r>
        <w:t xml:space="preserve"> lose the support</w:t>
      </w:r>
      <w:r w:rsidRPr="00331744">
        <w:t xml:space="preserve"> </w:t>
      </w:r>
      <w:r>
        <w:t>of</w:t>
      </w:r>
      <w:r w:rsidRPr="00331744">
        <w:t xml:space="preserve"> the Individuals with Disabilities Education Act (IDEA</w:t>
      </w:r>
      <w:r w:rsidR="00F15C20">
        <w:t>) (</w:t>
      </w:r>
      <w:r w:rsidRPr="00331744">
        <w:t xml:space="preserve">Acharya et al., 2017; </w:t>
      </w:r>
      <w:r>
        <w:t>Newman et al., 2011</w:t>
      </w:r>
      <w:r w:rsidRPr="00331744">
        <w:t xml:space="preserve">). </w:t>
      </w:r>
      <w:r>
        <w:t xml:space="preserve">The </w:t>
      </w:r>
      <w:r w:rsidRPr="00331744">
        <w:t xml:space="preserve">Office of Special Education and Rehabilitative Services </w:t>
      </w:r>
      <w:r>
        <w:t>(</w:t>
      </w:r>
      <w:r w:rsidRPr="00331744">
        <w:t>OSERS</w:t>
      </w:r>
      <w:r w:rsidR="005976AE">
        <w:t>,</w:t>
      </w:r>
      <w:r w:rsidRPr="00331744">
        <w:t xml:space="preserve"> 2015</w:t>
      </w:r>
      <w:r>
        <w:t>) defines transition for students with disabilities as</w:t>
      </w:r>
      <w:r w:rsidR="006123DF">
        <w:t xml:space="preserve"> the</w:t>
      </w:r>
      <w:r w:rsidRPr="00331744">
        <w:t xml:space="preserve"> </w:t>
      </w:r>
      <w:r w:rsidR="006123DF">
        <w:t>“</w:t>
      </w:r>
      <w:r w:rsidRPr="00331744">
        <w:t>passage from secondary education to participating in postsecondary education, training, or both, engaging in meaningful employment, living within one’s community, exercising self-determination, and contributing to society as productive citizens” (p.</w:t>
      </w:r>
      <w:r w:rsidR="00856A97">
        <w:t xml:space="preserve"> </w:t>
      </w:r>
      <w:r w:rsidRPr="00331744">
        <w:t>1).</w:t>
      </w:r>
      <w:r>
        <w:t xml:space="preserve"> However, w</w:t>
      </w:r>
      <w:r w:rsidRPr="00331744">
        <w:t xml:space="preserve">ith no comprehensive public policy </w:t>
      </w:r>
      <w:r>
        <w:t>to pick up where IDEA leaves off</w:t>
      </w:r>
      <w:r w:rsidRPr="00331744">
        <w:t xml:space="preserve">, families </w:t>
      </w:r>
      <w:r>
        <w:t>are left</w:t>
      </w:r>
      <w:r w:rsidRPr="00331744">
        <w:t xml:space="preserve"> feeling anxious and abandoned</w:t>
      </w:r>
      <w:r>
        <w:t xml:space="preserve">, comparing transition to </w:t>
      </w:r>
      <w:r w:rsidR="006123DF">
        <w:t>“</w:t>
      </w:r>
      <w:r>
        <w:t>falling off a cliff’</w:t>
      </w:r>
      <w:r w:rsidRPr="00331744">
        <w:t xml:space="preserve"> (Franklin et al., 2019; Joly, 2015)</w:t>
      </w:r>
      <w:r>
        <w:t>. As a result,</w:t>
      </w:r>
      <w:r w:rsidRPr="00331744">
        <w:t xml:space="preserve"> young adults </w:t>
      </w:r>
      <w:r>
        <w:t xml:space="preserve">with disabilities </w:t>
      </w:r>
      <w:r w:rsidRPr="00331744">
        <w:t xml:space="preserve">are </w:t>
      </w:r>
      <w:r>
        <w:t>struggling</w:t>
      </w:r>
      <w:r w:rsidRPr="00331744">
        <w:t xml:space="preserve"> to</w:t>
      </w:r>
      <w:r>
        <w:t xml:space="preserve"> successfully</w:t>
      </w:r>
      <w:r w:rsidRPr="00331744">
        <w:t xml:space="preserve"> </w:t>
      </w:r>
      <w:r>
        <w:t xml:space="preserve">integrate into adult roles in the community defined by OSERS such as </w:t>
      </w:r>
      <w:r w:rsidR="006123DF">
        <w:t xml:space="preserve">in </w:t>
      </w:r>
      <w:r>
        <w:t>employment, civic engagement, socialization, participation in religions, and volunteering</w:t>
      </w:r>
      <w:r w:rsidRPr="00331744">
        <w:t xml:space="preserve"> (</w:t>
      </w:r>
      <w:r>
        <w:t>Newman et al</w:t>
      </w:r>
      <w:r w:rsidR="00F15C20">
        <w:t>.</w:t>
      </w:r>
      <w:r>
        <w:t>, 2011</w:t>
      </w:r>
      <w:r w:rsidRPr="00331744">
        <w:t>)</w:t>
      </w:r>
      <w:r w:rsidR="00442AFE">
        <w:t>. T</w:t>
      </w:r>
      <w:r>
        <w:t>hose with intellectual and developmental disabilities (IDD) are experiencing the greatest delays (</w:t>
      </w:r>
      <w:r w:rsidRPr="00331744">
        <w:t xml:space="preserve">Benson et al., 2021; </w:t>
      </w:r>
      <w:r>
        <w:t>Lee &amp; Morningstar</w:t>
      </w:r>
      <w:r w:rsidR="006123DF">
        <w:t>,</w:t>
      </w:r>
      <w:r>
        <w:t xml:space="preserve"> </w:t>
      </w:r>
      <w:r w:rsidRPr="00331744">
        <w:t>2019</w:t>
      </w:r>
      <w:r>
        <w:t>). Yet,</w:t>
      </w:r>
      <w:r w:rsidRPr="00331744">
        <w:t xml:space="preserve"> the </w:t>
      </w:r>
      <w:r>
        <w:t>perspectives</w:t>
      </w:r>
      <w:r w:rsidRPr="00331744">
        <w:t xml:space="preserve"> of </w:t>
      </w:r>
      <w:r>
        <w:t>such</w:t>
      </w:r>
      <w:r w:rsidRPr="00331744">
        <w:t xml:space="preserve"> young adults are </w:t>
      </w:r>
      <w:r>
        <w:t>consistently omitted</w:t>
      </w:r>
      <w:r w:rsidRPr="00331744">
        <w:t xml:space="preserve"> </w:t>
      </w:r>
      <w:r>
        <w:t>from community integration research about them</w:t>
      </w:r>
      <w:r w:rsidRPr="00331744">
        <w:t xml:space="preserve"> (</w:t>
      </w:r>
      <w:r>
        <w:t xml:space="preserve">Jacobs et al., 2018; Lee &amp; Morningstar; </w:t>
      </w:r>
      <w:r w:rsidRPr="00331744">
        <w:t>2019).</w:t>
      </w:r>
      <w:r>
        <w:t xml:space="preserve"> Therefore</w:t>
      </w:r>
      <w:r w:rsidRPr="00331744">
        <w:t>,</w:t>
      </w:r>
      <w:bookmarkStart w:id="4" w:name="_Hlk81132802"/>
      <w:r>
        <w:t xml:space="preserve"> </w:t>
      </w:r>
      <w:r w:rsidRPr="00331744">
        <w:t xml:space="preserve">this </w:t>
      </w:r>
      <w:r>
        <w:t>study</w:t>
      </w:r>
      <w:r w:rsidRPr="00331744">
        <w:t xml:space="preserve"> </w:t>
      </w:r>
      <w:r>
        <w:t xml:space="preserve">empowered </w:t>
      </w:r>
      <w:r w:rsidRPr="00331744">
        <w:t>persons with IDD</w:t>
      </w:r>
      <w:r w:rsidRPr="006D01A2">
        <w:t xml:space="preserve"> </w:t>
      </w:r>
      <w:r>
        <w:t xml:space="preserve">to </w:t>
      </w:r>
      <w:r w:rsidRPr="00331744">
        <w:t xml:space="preserve">describe community integration in the decade following postsecondary transition </w:t>
      </w:r>
      <w:r>
        <w:t>through multimedia narratives</w:t>
      </w:r>
      <w:r w:rsidRPr="00331744">
        <w:t>.</w:t>
      </w:r>
      <w:bookmarkEnd w:id="4"/>
    </w:p>
    <w:p w14:paraId="578DE721" w14:textId="77777777" w:rsidR="00291717" w:rsidRPr="00331744" w:rsidRDefault="00291717" w:rsidP="00291717">
      <w:pPr>
        <w:pStyle w:val="APALevel1"/>
      </w:pPr>
      <w:bookmarkStart w:id="5" w:name="_Toc106879597"/>
      <w:r w:rsidRPr="00331744">
        <w:lastRenderedPageBreak/>
        <w:t>Background</w:t>
      </w:r>
      <w:bookmarkEnd w:id="5"/>
      <w:r>
        <w:t xml:space="preserve"> &amp; Literature Review</w:t>
      </w:r>
    </w:p>
    <w:p w14:paraId="79E8AEBB" w14:textId="4248113B" w:rsidR="00291717" w:rsidRDefault="00291717" w:rsidP="00291717">
      <w:pPr>
        <w:pStyle w:val="BodyParagraph"/>
      </w:pPr>
      <w:r>
        <w:t xml:space="preserve">Chang et al. (2013) </w:t>
      </w:r>
      <w:proofErr w:type="gramStart"/>
      <w:r>
        <w:t>define</w:t>
      </w:r>
      <w:proofErr w:type="gramEnd"/>
      <w:r w:rsidR="00856A97">
        <w:t xml:space="preserve"> </w:t>
      </w:r>
      <w:r>
        <w:t xml:space="preserve">community integration as “active involvement in activities that are intrinsically social and either occur outside the home or are part of a nondomestic role” (p. 772). When </w:t>
      </w:r>
      <w:r w:rsidR="00262DD6">
        <w:t xml:space="preserve">the </w:t>
      </w:r>
      <w:r w:rsidRPr="00331744">
        <w:t>197</w:t>
      </w:r>
      <w:r w:rsidR="00262DD6">
        <w:t>5</w:t>
      </w:r>
      <w:r w:rsidRPr="00331744">
        <w:t xml:space="preserve"> Education for All Handicapped Children Act </w:t>
      </w:r>
      <w:r>
        <w:t>granting</w:t>
      </w:r>
      <w:r w:rsidRPr="00331744">
        <w:t xml:space="preserve"> </w:t>
      </w:r>
      <w:r w:rsidRPr="00262DD6">
        <w:t>free and appropriate public education</w:t>
      </w:r>
      <w:r w:rsidRPr="00331744">
        <w:t xml:space="preserve"> </w:t>
      </w:r>
      <w:r>
        <w:t xml:space="preserve">for all was reauthorized in 1990 as IDEA, it included a mandate that transition services be addressed on individual education plans (IEP) starting at age 16 in recognition of persistent struggles with community integration </w:t>
      </w:r>
      <w:r w:rsidRPr="00331744">
        <w:t>(U</w:t>
      </w:r>
      <w:r>
        <w:t>nited States</w:t>
      </w:r>
      <w:r w:rsidRPr="00331744">
        <w:t xml:space="preserve"> Department of Education, </w:t>
      </w:r>
      <w:r>
        <w:t>2023</w:t>
      </w:r>
      <w:r w:rsidRPr="00331744">
        <w:t>).</w:t>
      </w:r>
      <w:r>
        <w:t xml:space="preserve"> However, when the decade</w:t>
      </w:r>
      <w:r w:rsidR="00A76232">
        <w:t>-</w:t>
      </w:r>
      <w:r>
        <w:t xml:space="preserve">long </w:t>
      </w:r>
      <w:r w:rsidRPr="00331744">
        <w:t>National Longitudinal Study-2 (NLTS2)</w:t>
      </w:r>
      <w:r>
        <w:t xml:space="preserve"> sponsored by the Department of Education</w:t>
      </w:r>
      <w:r w:rsidR="00A76232">
        <w:t xml:space="preserve">, taking </w:t>
      </w:r>
      <w:r>
        <w:t>a broad view of transition that included community integration</w:t>
      </w:r>
      <w:r w:rsidR="00A76232">
        <w:t>,</w:t>
      </w:r>
      <w:r>
        <w:t xml:space="preserve"> concluded in 2009, it highlighted persistent transition deficits for young adults with disabilities despite the postsecondary transition planning mandate. For example, within a decade of transition,</w:t>
      </w:r>
      <w:r w:rsidRPr="00331744">
        <w:t xml:space="preserve"> </w:t>
      </w:r>
      <w:r>
        <w:t xml:space="preserve">only </w:t>
      </w:r>
      <w:r w:rsidRPr="00331744">
        <w:t xml:space="preserve">60% of young adults with disabilities enrolled in </w:t>
      </w:r>
      <w:r>
        <w:t>postsecondary education</w:t>
      </w:r>
      <w:r w:rsidRPr="00331744">
        <w:t xml:space="preserve"> </w:t>
      </w:r>
      <w:r>
        <w:t xml:space="preserve">(PSE) </w:t>
      </w:r>
      <w:r w:rsidRPr="00331744">
        <w:t xml:space="preserve">as opposed to 67% of the </w:t>
      </w:r>
      <w:r>
        <w:t>general U.S.</w:t>
      </w:r>
      <w:r w:rsidRPr="00331744">
        <w:t xml:space="preserve"> population; </w:t>
      </w:r>
      <w:r>
        <w:t xml:space="preserve">only </w:t>
      </w:r>
      <w:r w:rsidRPr="00331744">
        <w:t>60% were employed as opposed to 66%</w:t>
      </w:r>
      <w:r>
        <w:t xml:space="preserve"> of the population</w:t>
      </w:r>
      <w:r w:rsidRPr="00331744">
        <w:t xml:space="preserve">; and </w:t>
      </w:r>
      <w:r>
        <w:t xml:space="preserve">only </w:t>
      </w:r>
      <w:r w:rsidRPr="00331744">
        <w:t>45% were living independently as opposed to 59%</w:t>
      </w:r>
      <w:r>
        <w:t xml:space="preserve"> overall </w:t>
      </w:r>
      <w:r w:rsidRPr="00331744">
        <w:t>(Newman et al., 2011)</w:t>
      </w:r>
      <w:r>
        <w:t xml:space="preserve">. And </w:t>
      </w:r>
      <w:r w:rsidRPr="00331744">
        <w:t xml:space="preserve">those </w:t>
      </w:r>
      <w:r>
        <w:t xml:space="preserve">labeled with significant disabilities such as autism spectrum disorder (ASD) or intellectual disability (ID) fared even worse with employment rates of only </w:t>
      </w:r>
      <w:r w:rsidRPr="00331744">
        <w:t xml:space="preserve">37% for </w:t>
      </w:r>
      <w:r>
        <w:t>ASD</w:t>
      </w:r>
      <w:r w:rsidRPr="00331744">
        <w:t xml:space="preserve"> and 39% for </w:t>
      </w:r>
      <w:r>
        <w:t>ID</w:t>
      </w:r>
      <w:r w:rsidR="00856A97">
        <w:t>,</w:t>
      </w:r>
      <w:r>
        <w:t xml:space="preserve"> while only </w:t>
      </w:r>
      <w:r w:rsidRPr="00331744">
        <w:t xml:space="preserve">17% with </w:t>
      </w:r>
      <w:r>
        <w:t>ASD</w:t>
      </w:r>
      <w:r w:rsidRPr="00331744">
        <w:t xml:space="preserve"> and 36% with</w:t>
      </w:r>
      <w:r>
        <w:t xml:space="preserve"> ID </w:t>
      </w:r>
      <w:r w:rsidRPr="00331744">
        <w:t>were living outside the family home</w:t>
      </w:r>
      <w:r>
        <w:t xml:space="preserve">. There were also indicators of social isolation from the community, with only </w:t>
      </w:r>
      <w:r w:rsidRPr="00331744">
        <w:t xml:space="preserve">48% </w:t>
      </w:r>
      <w:r>
        <w:t xml:space="preserve">of respondents with ASD </w:t>
      </w:r>
      <w:r w:rsidRPr="00331744">
        <w:t xml:space="preserve">and 58% with </w:t>
      </w:r>
      <w:r>
        <w:t>ID</w:t>
      </w:r>
      <w:r w:rsidRPr="00331744">
        <w:t xml:space="preserve"> </w:t>
      </w:r>
      <w:r>
        <w:t>having recently seen</w:t>
      </w:r>
      <w:r w:rsidRPr="00331744">
        <w:t xml:space="preserve"> friend</w:t>
      </w:r>
      <w:r>
        <w:t>s</w:t>
      </w:r>
      <w:r w:rsidRPr="00331744">
        <w:t xml:space="preserve"> outside the home (Newman et al., 2011). </w:t>
      </w:r>
      <w:r>
        <w:t>Yet obstacles to successful transition are well-documented.</w:t>
      </w:r>
    </w:p>
    <w:p w14:paraId="6E8442A7" w14:textId="0A411A65" w:rsidR="00291717" w:rsidRDefault="00291717" w:rsidP="00291717">
      <w:pPr>
        <w:pStyle w:val="BodyParagraph"/>
      </w:pPr>
      <w:r>
        <w:t xml:space="preserve">Decades of transition literature has identified bureaucratic failings in the postsecondary transition process such as </w:t>
      </w:r>
      <w:r w:rsidRPr="00331744">
        <w:t xml:space="preserve">limited </w:t>
      </w:r>
      <w:r>
        <w:t xml:space="preserve">availability of </w:t>
      </w:r>
      <w:r w:rsidRPr="00331744">
        <w:t>information and resources</w:t>
      </w:r>
      <w:r>
        <w:t xml:space="preserve"> to families</w:t>
      </w:r>
      <w:r w:rsidRPr="00331744">
        <w:t xml:space="preserve">, underdeveloped self-advocacy and self-determination skills </w:t>
      </w:r>
      <w:r>
        <w:t xml:space="preserve">in adolescents with </w:t>
      </w:r>
      <w:r>
        <w:lastRenderedPageBreak/>
        <w:t>disabilities</w:t>
      </w:r>
      <w:r w:rsidRPr="00331744">
        <w:t xml:space="preserve">, limited </w:t>
      </w:r>
      <w:r>
        <w:t xml:space="preserve">stakeholder </w:t>
      </w:r>
      <w:r w:rsidRPr="00331744">
        <w:t xml:space="preserve">collaboration, </w:t>
      </w:r>
      <w:r>
        <w:t>limited</w:t>
      </w:r>
      <w:r w:rsidRPr="00331744">
        <w:t xml:space="preserve"> family involvement</w:t>
      </w:r>
      <w:r>
        <w:t xml:space="preserve"> in the process, siloed services that fail to coordinate, and generic training that ignores individual strengths and preferences</w:t>
      </w:r>
      <w:r w:rsidRPr="00331744">
        <w:t xml:space="preserve"> (Franklin et al., 2019; Hirano et al., 2018</w:t>
      </w:r>
      <w:r>
        <w:t xml:space="preserve">; </w:t>
      </w:r>
      <w:r w:rsidRPr="00331744">
        <w:t xml:space="preserve">Joly, 2015; </w:t>
      </w:r>
      <w:r>
        <w:t>Stein et al., 2016</w:t>
      </w:r>
      <w:r w:rsidRPr="00331744">
        <w:t>).</w:t>
      </w:r>
      <w:r>
        <w:t xml:space="preserve"> There is also a need</w:t>
      </w:r>
      <w:r w:rsidRPr="00331744">
        <w:t xml:space="preserve"> for more clearly identified </w:t>
      </w:r>
      <w:r>
        <w:t>stakeholder roles</w:t>
      </w:r>
      <w:r w:rsidRPr="00331744">
        <w:t xml:space="preserve">, </w:t>
      </w:r>
      <w:r>
        <w:t>more effective communication channels, increased</w:t>
      </w:r>
      <w:r w:rsidRPr="00331744">
        <w:t xml:space="preserve"> training</w:t>
      </w:r>
      <w:r>
        <w:t xml:space="preserve"> for professionals</w:t>
      </w:r>
      <w:r w:rsidRPr="00331744">
        <w:t xml:space="preserve">, and incentives </w:t>
      </w:r>
      <w:r>
        <w:t xml:space="preserve">for cross-agency </w:t>
      </w:r>
      <w:r w:rsidRPr="00331744">
        <w:t>collaboration (</w:t>
      </w:r>
      <w:r>
        <w:t xml:space="preserve">Benson et al., 2021; </w:t>
      </w:r>
      <w:r w:rsidRPr="00331744">
        <w:t>Oertle et al., 2021; Plotner et al., 2020.</w:t>
      </w:r>
      <w:r>
        <w:t>) In turn, evidence for strategies that promote successful vocational transition is growing, emphasizing early</w:t>
      </w:r>
      <w:r w:rsidRPr="00331744">
        <w:t xml:space="preserve"> career exploration, i</w:t>
      </w:r>
      <w:r>
        <w:t xml:space="preserve">mproved </w:t>
      </w:r>
      <w:r w:rsidRPr="00331744">
        <w:t>stakeholder</w:t>
      </w:r>
      <w:r>
        <w:t xml:space="preserve"> communication</w:t>
      </w:r>
      <w:r w:rsidRPr="00331744">
        <w:t>, community involvement</w:t>
      </w:r>
      <w:r>
        <w:t xml:space="preserve"> in planning</w:t>
      </w:r>
      <w:r w:rsidRPr="00331744">
        <w:t>, early paid work experience, and</w:t>
      </w:r>
      <w:r>
        <w:t xml:space="preserve"> providing</w:t>
      </w:r>
      <w:r w:rsidRPr="00331744">
        <w:t xml:space="preserve"> individualize</w:t>
      </w:r>
      <w:r>
        <w:t xml:space="preserve">d </w:t>
      </w:r>
      <w:r w:rsidRPr="00331744">
        <w:t>services</w:t>
      </w:r>
      <w:r>
        <w:t xml:space="preserve"> tailored to a student’s interest </w:t>
      </w:r>
      <w:r w:rsidRPr="00331744">
        <w:t>(Kester et al., 2019; Oertle &amp; O’Leary, 2017; Qian et al., 2018; Rast et al., 2020)</w:t>
      </w:r>
      <w:r>
        <w:t xml:space="preserve">. Yet the persistent barriers have resulted in slow implementation and continued struggles to achieve competitive employment for those with complex disabilities (Lee &amp; Morningstar, 2019; </w:t>
      </w:r>
      <w:r w:rsidRPr="00331744">
        <w:t>Qian et al., 2018)</w:t>
      </w:r>
      <w:r>
        <w:t xml:space="preserve">. </w:t>
      </w:r>
      <w:r w:rsidR="00FC5C9D">
        <w:t xml:space="preserve">Postsecondary education </w:t>
      </w:r>
      <w:r>
        <w:t xml:space="preserve">also correlates with higher rates of competitive employment (Sannicandro et al., 2018) and there have been some successes on this front, such as </w:t>
      </w:r>
      <w:r w:rsidRPr="00331744">
        <w:t>the Higher Education Opportunity Act of 2008</w:t>
      </w:r>
      <w:r w:rsidR="00FC5C9D">
        <w:t>,</w:t>
      </w:r>
      <w:r>
        <w:t xml:space="preserve"> which has helped increase PSE programs</w:t>
      </w:r>
      <w:r w:rsidRPr="00331744">
        <w:t xml:space="preserve"> for students with ID tenfold (Baker et al., 2018; </w:t>
      </w:r>
      <w:proofErr w:type="spellStart"/>
      <w:r w:rsidRPr="00331744">
        <w:t>Wilczenski</w:t>
      </w:r>
      <w:proofErr w:type="spellEnd"/>
      <w:r w:rsidRPr="00331744">
        <w:t xml:space="preserve"> et al., 2017).</w:t>
      </w:r>
      <w:r>
        <w:t xml:space="preserve"> However, successful PSE participation for those with IDD requires supports that are often absent or difficult to access such as inclusive classes, strong campus engagement, concurrent part-time employment, and collaborative engagement with community partners (Domin et al., 2020; Horn et al., 2020; Qian et al., 2018). Further, the social barriers to disclosing disability and requesting accommodations as well as the </w:t>
      </w:r>
      <w:r w:rsidRPr="00331744">
        <w:t xml:space="preserve">complex </w:t>
      </w:r>
      <w:r>
        <w:t xml:space="preserve">social and bureaucratic </w:t>
      </w:r>
      <w:r w:rsidRPr="00331744">
        <w:t>systems</w:t>
      </w:r>
      <w:r>
        <w:t xml:space="preserve"> remain significant obstacles (</w:t>
      </w:r>
      <w:r w:rsidRPr="00331744">
        <w:t xml:space="preserve">Bell </w:t>
      </w:r>
      <w:r>
        <w:t>&amp;</w:t>
      </w:r>
      <w:r w:rsidRPr="00331744">
        <w:t xml:space="preserve"> Zamani-Gallaher</w:t>
      </w:r>
      <w:r>
        <w:t xml:space="preserve">, 2017; </w:t>
      </w:r>
      <w:r w:rsidRPr="00331744">
        <w:t>Berg et al.</w:t>
      </w:r>
      <w:r>
        <w:t>, 2017; Shogren et al., 2018).</w:t>
      </w:r>
      <w:r w:rsidRPr="00331744">
        <w:t xml:space="preserve"> </w:t>
      </w:r>
      <w:r>
        <w:t>Yet struggles with community integration extend well beyond PSE and employment.</w:t>
      </w:r>
    </w:p>
    <w:p w14:paraId="62FDF122" w14:textId="77777777" w:rsidR="00291717" w:rsidRDefault="00291717" w:rsidP="005976AE">
      <w:pPr>
        <w:pStyle w:val="BodyParagraph"/>
      </w:pPr>
      <w:r>
        <w:lastRenderedPageBreak/>
        <w:t xml:space="preserve">Critical disability studies (CDS) in particularly </w:t>
      </w:r>
      <w:proofErr w:type="gramStart"/>
      <w:r>
        <w:t>is</w:t>
      </w:r>
      <w:proofErr w:type="gramEnd"/>
      <w:r>
        <w:t xml:space="preserve"> grounded in calls for greater participation and inclusion for marginalized populations (Hall, 2019), and many disability studies scholars argue for measures of</w:t>
      </w:r>
      <w:r w:rsidRPr="00331744">
        <w:t xml:space="preserve"> </w:t>
      </w:r>
      <w:r>
        <w:t>postsecondary transition success</w:t>
      </w:r>
      <w:r w:rsidRPr="00331744">
        <w:t xml:space="preserve"> </w:t>
      </w:r>
      <w:r>
        <w:t>that includes broad views of community integration</w:t>
      </w:r>
      <w:r w:rsidRPr="00331744">
        <w:t xml:space="preserve">. </w:t>
      </w:r>
      <w:proofErr w:type="spellStart"/>
      <w:r w:rsidRPr="00331744">
        <w:t>Liasidou</w:t>
      </w:r>
      <w:proofErr w:type="spellEnd"/>
      <w:r w:rsidRPr="00331744">
        <w:t xml:space="preserve"> and </w:t>
      </w:r>
      <w:proofErr w:type="spellStart"/>
      <w:r w:rsidRPr="00331744">
        <w:t>Symeou</w:t>
      </w:r>
      <w:proofErr w:type="spellEnd"/>
      <w:r w:rsidRPr="00331744">
        <w:t xml:space="preserve"> </w:t>
      </w:r>
      <w:r>
        <w:t xml:space="preserve">(2018) argued that </w:t>
      </w:r>
      <w:r w:rsidRPr="00331744">
        <w:t xml:space="preserve">marketplace </w:t>
      </w:r>
      <w:r>
        <w:t xml:space="preserve">conceptualizations of educational outcomes </w:t>
      </w:r>
      <w:r w:rsidRPr="00331744">
        <w:t>reduce education to an investment and thus the educated to units of corporate profitability</w:t>
      </w:r>
      <w:r>
        <w:t>, often rendering persons with disabilities as nonessential</w:t>
      </w:r>
      <w:r w:rsidRPr="00331744">
        <w:t>.</w:t>
      </w:r>
      <w:r>
        <w:t xml:space="preserve"> </w:t>
      </w:r>
      <w:r w:rsidRPr="00331744">
        <w:t>Black and Lawson (2017) similarly</w:t>
      </w:r>
      <w:r>
        <w:t xml:space="preserve"> rejected</w:t>
      </w:r>
      <w:r w:rsidRPr="00331744">
        <w:t xml:space="preserve"> </w:t>
      </w:r>
      <w:r>
        <w:t>a</w:t>
      </w:r>
      <w:r w:rsidRPr="00331744">
        <w:t xml:space="preserve"> narrow</w:t>
      </w:r>
      <w:r>
        <w:t xml:space="preserve"> dehumanizing</w:t>
      </w:r>
      <w:r w:rsidRPr="00331744">
        <w:t xml:space="preserve"> focus on productivity</w:t>
      </w:r>
      <w:r>
        <w:t xml:space="preserve"> that ignores personal priorities, while </w:t>
      </w:r>
      <w:r w:rsidRPr="00331744">
        <w:t>Charlton</w:t>
      </w:r>
      <w:r>
        <w:t>’s</w:t>
      </w:r>
      <w:r w:rsidRPr="00331744">
        <w:t xml:space="preserve"> (2000)</w:t>
      </w:r>
      <w:r>
        <w:t xml:space="preserve"> “</w:t>
      </w:r>
      <w:r>
        <w:rPr>
          <w:i/>
          <w:iCs/>
        </w:rPr>
        <w:t>Nothing About Us Without Us” slogan</w:t>
      </w:r>
      <w:r w:rsidRPr="00331744">
        <w:t xml:space="preserve"> </w:t>
      </w:r>
      <w:r>
        <w:t xml:space="preserve">remains a cornerstone of disabilities studies, scholars </w:t>
      </w:r>
      <w:r w:rsidRPr="00331744">
        <w:t xml:space="preserve">argue that self-actualization and not economic utility </w:t>
      </w:r>
      <w:r>
        <w:t xml:space="preserve">represents true freedom from </w:t>
      </w:r>
      <w:r w:rsidRPr="00331744">
        <w:t>oppression</w:t>
      </w:r>
      <w:r>
        <w:t xml:space="preserve"> and thus should be our goal. But while a community integration approach is slowly seeping into transition literature, Dean et al. (2016) found that participation—as defined by widely accepted International Classification of Disability (IFC) language—was only mentioned in 88 articles within ID literature and clearly defined in six, with only three of those citing IFC language. Chang et al.’s (2013) systematic review similarly found that instruments used to measure community integration were inconsistent and failed to fully embrace participation per IFC guidance, while a systematic review by Taylor-Roberts et al. (2019) uncovered widespread psychometric scores with standardized measures of community integration. Yet not only is transition research struggling to fully define and measure community integration, but we are ignoring the most critical piece to this puzzle. A literature review by </w:t>
      </w:r>
      <w:r w:rsidRPr="00331744">
        <w:t>Jacobs et al</w:t>
      </w:r>
      <w:r>
        <w:t>,</w:t>
      </w:r>
      <w:r w:rsidRPr="00331744">
        <w:t xml:space="preserve"> (2018) </w:t>
      </w:r>
      <w:r>
        <w:t>found that not only were the voices of those with IDD excluded from transition literature in favor of other stakeholders, but few authors even bothered to justify</w:t>
      </w:r>
      <w:r w:rsidRPr="00331744">
        <w:t xml:space="preserve"> </w:t>
      </w:r>
      <w:r>
        <w:t>this exclusion, clearly failing to comply with the inclusive and emancipatory mandate of CDS (Hall, 2019).</w:t>
      </w:r>
    </w:p>
    <w:p w14:paraId="431897EB" w14:textId="73CFCE83" w:rsidR="00291717" w:rsidRPr="00A074E3" w:rsidRDefault="00291717" w:rsidP="00291717">
      <w:pPr>
        <w:pStyle w:val="BodyParagraph"/>
      </w:pPr>
      <w:r>
        <w:lastRenderedPageBreak/>
        <w:t>Yet calls from movements such as CDS to include these voices are slowly making inroads. Hall’s (2017) qualitative study of community involvement of persons with IDD in the Midwest</w:t>
      </w:r>
      <w:r w:rsidR="00AC70D0">
        <w:t>ern United States</w:t>
      </w:r>
      <w:r>
        <w:t xml:space="preserve"> examined community transition through employment, recreation, and leisure</w:t>
      </w:r>
      <w:r w:rsidR="00AC70D0">
        <w:t>. The study</w:t>
      </w:r>
      <w:r>
        <w:t xml:space="preserve"> </w:t>
      </w:r>
      <w:r w:rsidR="00AC70D0">
        <w:t>describ</w:t>
      </w:r>
      <w:r>
        <w:t xml:space="preserve">ed the internalized sting of exclusion from both vocational and social </w:t>
      </w:r>
      <w:r w:rsidR="00AC70D0">
        <w:t>participation,</w:t>
      </w:r>
      <w:r>
        <w:t xml:space="preserve"> paired with a desire to become more involved. Yet a preponderance of community integration literature remains quantitative, relying heavi</w:t>
      </w:r>
      <w:r w:rsidR="001A31C0">
        <w:t>ly</w:t>
      </w:r>
      <w:r>
        <w:t xml:space="preserve"> on microanalysis of the NLTS2. Even original quantitative studies of community integration</w:t>
      </w:r>
      <w:r w:rsidR="001A31C0">
        <w:t>,</w:t>
      </w:r>
      <w:r>
        <w:t xml:space="preserve"> such as that of Tint </w:t>
      </w:r>
      <w:r w:rsidR="001A31C0">
        <w:t>et al.</w:t>
      </w:r>
      <w:r>
        <w:t xml:space="preserve"> (2017)</w:t>
      </w:r>
      <w:r w:rsidR="001A31C0">
        <w:t>,</w:t>
      </w:r>
      <w:r>
        <w:t xml:space="preserve"> rely on caregiver perspectives. </w:t>
      </w:r>
      <w:r w:rsidRPr="00331744">
        <w:t>Amado et al.</w:t>
      </w:r>
      <w:r>
        <w:t>’s</w:t>
      </w:r>
      <w:r w:rsidRPr="00331744">
        <w:t xml:space="preserve"> 2013 literature review </w:t>
      </w:r>
      <w:r>
        <w:t>identified</w:t>
      </w:r>
      <w:r w:rsidRPr="00331744">
        <w:t xml:space="preserve"> an urgent need </w:t>
      </w:r>
      <w:r>
        <w:t>to include the</w:t>
      </w:r>
      <w:r w:rsidRPr="00331744">
        <w:t xml:space="preserve"> </w:t>
      </w:r>
      <w:r>
        <w:t>perspectives of young adults with IDD</w:t>
      </w:r>
      <w:r w:rsidR="001A31C0">
        <w:t>. S</w:t>
      </w:r>
      <w:r>
        <w:t>ix years later</w:t>
      </w:r>
      <w:r w:rsidR="001A31C0">
        <w:t>,</w:t>
      </w:r>
      <w:r>
        <w:t xml:space="preserve"> </w:t>
      </w:r>
      <w:r w:rsidRPr="00331744">
        <w:t>Lee and Morningstar</w:t>
      </w:r>
      <w:r>
        <w:t xml:space="preserve"> (</w:t>
      </w:r>
      <w:r w:rsidRPr="00331744">
        <w:t>2019</w:t>
      </w:r>
      <w:r>
        <w:t>) found such inclusion still lacking, calling for</w:t>
      </w:r>
      <w:r w:rsidRPr="00331744">
        <w:t xml:space="preserve"> </w:t>
      </w:r>
      <w:r>
        <w:t>“</w:t>
      </w:r>
      <w:r w:rsidRPr="00331744">
        <w:t xml:space="preserve">extending current research to provide a deeper and more descriptive understanding of community participation among young adults with severe disabilities” (p. 196). </w:t>
      </w:r>
      <w:r>
        <w:t xml:space="preserve">Therefore, </w:t>
      </w:r>
      <w:bookmarkStart w:id="6" w:name="Chapter_2"/>
      <w:bookmarkEnd w:id="6"/>
      <w:r>
        <w:t>this study employed narrative inquiry to allow this population to broadly conceptualize their community integration following postsecondary transition in their own words.</w:t>
      </w:r>
    </w:p>
    <w:p w14:paraId="2188E1CC" w14:textId="77777777" w:rsidR="00291717" w:rsidRPr="00331744" w:rsidRDefault="00291717" w:rsidP="00291717">
      <w:pPr>
        <w:pStyle w:val="APALevel1"/>
      </w:pPr>
      <w:bookmarkStart w:id="7" w:name="_Toc106879621"/>
      <w:r w:rsidRPr="00331744">
        <w:t>Research Method</w:t>
      </w:r>
      <w:bookmarkEnd w:id="7"/>
      <w:r>
        <w:t>s</w:t>
      </w:r>
    </w:p>
    <w:p w14:paraId="2AC86279" w14:textId="287D6081" w:rsidR="00291717" w:rsidRDefault="00291717" w:rsidP="006F5815">
      <w:pPr>
        <w:pStyle w:val="BodyParagraph"/>
      </w:pPr>
      <w:r w:rsidRPr="00331744">
        <w:t xml:space="preserve">Narrative inquiry </w:t>
      </w:r>
      <w:r>
        <w:t>asserts that humans organize and explain the randomness of their lives through narratives built upon shared</w:t>
      </w:r>
      <w:r w:rsidRPr="00331744">
        <w:t xml:space="preserve"> </w:t>
      </w:r>
      <w:r w:rsidRPr="00DD2D16">
        <w:t>stock stories</w:t>
      </w:r>
      <w:r>
        <w:t xml:space="preserve"> (</w:t>
      </w:r>
      <w:r w:rsidR="00DD2D16" w:rsidRPr="00DD2D16">
        <w:t>Clandinin</w:t>
      </w:r>
      <w:r w:rsidRPr="00331744">
        <w:t>, 201</w:t>
      </w:r>
      <w:r>
        <w:t>6</w:t>
      </w:r>
      <w:r w:rsidRPr="00331744">
        <w:t xml:space="preserve">; </w:t>
      </w:r>
      <w:r>
        <w:t>Kim, 2016</w:t>
      </w:r>
      <w:r w:rsidRPr="00331744">
        <w:t xml:space="preserve">). </w:t>
      </w:r>
      <w:r>
        <w:t>Narrative inquirers seek</w:t>
      </w:r>
      <w:r w:rsidR="00C44EF4">
        <w:t xml:space="preserve"> </w:t>
      </w:r>
      <w:r w:rsidR="00591837" w:rsidRPr="007353BC">
        <w:rPr>
          <w:i/>
          <w:iCs/>
        </w:rPr>
        <w:t>collaborators</w:t>
      </w:r>
      <w:r w:rsidR="00591837">
        <w:t xml:space="preserve"> </w:t>
      </w:r>
      <w:r>
        <w:t xml:space="preserve">rather than </w:t>
      </w:r>
      <w:r w:rsidR="00591837">
        <w:t>s</w:t>
      </w:r>
      <w:r>
        <w:t xml:space="preserve">ubjects to cooperatively collect and create narratives, thereby flattening traditional power dynamics where data collection and interpretation was predominately controlled by the privileged researcher </w:t>
      </w:r>
      <w:r w:rsidRPr="00331744">
        <w:t>(Clandinin, 2016</w:t>
      </w:r>
      <w:r w:rsidR="006F5815">
        <w:t xml:space="preserve">; </w:t>
      </w:r>
      <w:r>
        <w:t>Kim, 2016</w:t>
      </w:r>
      <w:r w:rsidRPr="00331744">
        <w:t>)</w:t>
      </w:r>
      <w:r>
        <w:t>. Because of this collaborative empowerment, narrative inquiry has been embraced by critical disability theory (CDT)—the theoretical expression of CDS which defines disability as the confluence of contextual and personal factors rather than an individual fault (</w:t>
      </w:r>
      <w:r w:rsidRPr="00331744">
        <w:t>Bjornsdottir et al., 2014</w:t>
      </w:r>
      <w:r>
        <w:t xml:space="preserve">; Hall, 2019; </w:t>
      </w:r>
      <w:proofErr w:type="spellStart"/>
      <w:r w:rsidRPr="00331744">
        <w:t>Sigstad</w:t>
      </w:r>
      <w:proofErr w:type="spellEnd"/>
      <w:r w:rsidRPr="00331744">
        <w:t xml:space="preserve"> &amp; </w:t>
      </w:r>
      <w:proofErr w:type="spellStart"/>
      <w:r w:rsidRPr="00331744">
        <w:t>Garrels</w:t>
      </w:r>
      <w:proofErr w:type="spellEnd"/>
      <w:r w:rsidRPr="00331744">
        <w:t>, 2017; Smith-</w:t>
      </w:r>
      <w:r w:rsidRPr="00331744">
        <w:lastRenderedPageBreak/>
        <w:t>Chandler &amp; Swart, 2014).</w:t>
      </w:r>
      <w:r>
        <w:t xml:space="preserve"> However, citing the need to protect vulnerable populations,</w:t>
      </w:r>
      <w:r w:rsidRPr="00331744">
        <w:t xml:space="preserve"> </w:t>
      </w:r>
      <w:r>
        <w:t>researchers and</w:t>
      </w:r>
      <w:r w:rsidR="00835FEC">
        <w:t xml:space="preserve"> institutional review boards</w:t>
      </w:r>
      <w:r>
        <w:t xml:space="preserve"> </w:t>
      </w:r>
      <w:r w:rsidR="00835FEC">
        <w:t>(</w:t>
      </w:r>
      <w:r>
        <w:t>IRBs</w:t>
      </w:r>
      <w:r w:rsidR="00835FEC">
        <w:t xml:space="preserve">) </w:t>
      </w:r>
      <w:r>
        <w:t xml:space="preserve">have perpetuated exclusion of persons with IDD from such research by exaggerating the challenges of collaboration and </w:t>
      </w:r>
      <w:r w:rsidRPr="00331744">
        <w:t>underestimat</w:t>
      </w:r>
      <w:r>
        <w:t xml:space="preserve">ing their ability to comprehend </w:t>
      </w:r>
      <w:r w:rsidRPr="00331744">
        <w:t xml:space="preserve">the social benefits of </w:t>
      </w:r>
      <w:r>
        <w:t xml:space="preserve">research participation </w:t>
      </w:r>
      <w:r w:rsidRPr="00331744">
        <w:t xml:space="preserve">(McDonald et al., 2016; </w:t>
      </w:r>
      <w:proofErr w:type="spellStart"/>
      <w:r w:rsidRPr="00331744">
        <w:t>Sigstad</w:t>
      </w:r>
      <w:proofErr w:type="spellEnd"/>
      <w:r w:rsidRPr="00331744">
        <w:t xml:space="preserve"> &amp; </w:t>
      </w:r>
      <w:proofErr w:type="spellStart"/>
      <w:r w:rsidRPr="00331744">
        <w:t>Garrels</w:t>
      </w:r>
      <w:proofErr w:type="spellEnd"/>
      <w:r w:rsidRPr="00331744">
        <w:t>, 2017</w:t>
      </w:r>
      <w:r>
        <w:t xml:space="preserve">). Fortunately, disability studies </w:t>
      </w:r>
      <w:proofErr w:type="gramStart"/>
      <w:r>
        <w:t>provides</w:t>
      </w:r>
      <w:proofErr w:type="gramEnd"/>
      <w:r>
        <w:t xml:space="preserve"> a clear path forward.</w:t>
      </w:r>
    </w:p>
    <w:p w14:paraId="64767C78" w14:textId="77777777" w:rsidR="00291717" w:rsidRPr="00331744" w:rsidRDefault="00291717" w:rsidP="00291717">
      <w:pPr>
        <w:pStyle w:val="APALevel2"/>
      </w:pPr>
      <w:r>
        <w:t>Adapted Methodology</w:t>
      </w:r>
    </w:p>
    <w:p w14:paraId="3091F07F" w14:textId="0EB06797" w:rsidR="00291717" w:rsidRDefault="00291717" w:rsidP="00291717">
      <w:pPr>
        <w:pStyle w:val="BodyParagraph"/>
      </w:pPr>
      <w:r>
        <w:t xml:space="preserve">For this study, narrative inquiry was modified per adapted collaboration recommendations from disability studies and CDT. For example, </w:t>
      </w:r>
      <w:r w:rsidRPr="00331744">
        <w:t xml:space="preserve">St. Pierre (2015) </w:t>
      </w:r>
      <w:r>
        <w:t>challenged</w:t>
      </w:r>
      <w:r w:rsidRPr="00331744">
        <w:t xml:space="preserve"> </w:t>
      </w:r>
      <w:r>
        <w:t>researchers to enable</w:t>
      </w:r>
      <w:r w:rsidRPr="00331744">
        <w:t xml:space="preserve"> non-traditional speakers</w:t>
      </w:r>
      <w:r>
        <w:t xml:space="preserve"> by embracing</w:t>
      </w:r>
      <w:r w:rsidRPr="00331744">
        <w:t xml:space="preserve"> noise, dissonance, silences, and alternative </w:t>
      </w:r>
      <w:r>
        <w:t xml:space="preserve">methods of communication, while </w:t>
      </w:r>
      <w:r w:rsidRPr="00331744">
        <w:t>Sandahl</w:t>
      </w:r>
      <w:r>
        <w:t xml:space="preserve"> (</w:t>
      </w:r>
      <w:r w:rsidRPr="00331744">
        <w:t>2018)</w:t>
      </w:r>
      <w:r>
        <w:t xml:space="preserve"> offered visual media as a path towards inclusive research. </w:t>
      </w:r>
      <w:proofErr w:type="spellStart"/>
      <w:r>
        <w:t>Nind</w:t>
      </w:r>
      <w:proofErr w:type="spellEnd"/>
      <w:r>
        <w:t xml:space="preserve"> (2008) also recommended a multimedia approach for overcoming challenges for collaborating with those with IDD in a National Center for Research Methods report. Other recommendations included </w:t>
      </w:r>
      <w:r w:rsidRPr="00331744">
        <w:t xml:space="preserve">using simple language, restating concepts, </w:t>
      </w:r>
      <w:r>
        <w:t xml:space="preserve">frequently </w:t>
      </w:r>
      <w:r w:rsidRPr="00331744">
        <w:t>checking for understanding, allowing increased processing time, and attending to non-verbal cues</w:t>
      </w:r>
      <w:r>
        <w:t xml:space="preserve"> (</w:t>
      </w:r>
      <w:proofErr w:type="spellStart"/>
      <w:r w:rsidRPr="00331744">
        <w:t>Jovchelovitch</w:t>
      </w:r>
      <w:proofErr w:type="spellEnd"/>
      <w:r>
        <w:t xml:space="preserve"> </w:t>
      </w:r>
      <w:r w:rsidRPr="00331744">
        <w:t>&amp; Bauer, 2000</w:t>
      </w:r>
      <w:r>
        <w:t>;</w:t>
      </w:r>
      <w:r w:rsidRPr="00331744">
        <w:t xml:space="preserve"> </w:t>
      </w:r>
      <w:proofErr w:type="spellStart"/>
      <w:r w:rsidRPr="00331744">
        <w:t>Nind</w:t>
      </w:r>
      <w:proofErr w:type="spellEnd"/>
      <w:r>
        <w:t xml:space="preserve">, </w:t>
      </w:r>
      <w:r w:rsidRPr="00331744">
        <w:t>2008</w:t>
      </w:r>
      <w:r>
        <w:t xml:space="preserve">; </w:t>
      </w:r>
      <w:proofErr w:type="spellStart"/>
      <w:r w:rsidRPr="00331744">
        <w:t>Sigstad</w:t>
      </w:r>
      <w:proofErr w:type="spellEnd"/>
      <w:r w:rsidRPr="00331744">
        <w:t xml:space="preserve"> &amp; Garrels</w:t>
      </w:r>
      <w:r>
        <w:t xml:space="preserve">, </w:t>
      </w:r>
      <w:r w:rsidRPr="00331744">
        <w:t>2017</w:t>
      </w:r>
      <w:r>
        <w:t xml:space="preserve">; </w:t>
      </w:r>
      <w:r w:rsidRPr="00331744">
        <w:t>St. Pierre</w:t>
      </w:r>
      <w:r>
        <w:t xml:space="preserve">, </w:t>
      </w:r>
      <w:r w:rsidRPr="00331744">
        <w:t>2015</w:t>
      </w:r>
      <w:r>
        <w:t>)</w:t>
      </w:r>
      <w:r w:rsidRPr="00331744">
        <w:t>.</w:t>
      </w:r>
      <w:r w:rsidRPr="00331744">
        <w:rPr>
          <w:i/>
          <w:iCs/>
        </w:rPr>
        <w:t xml:space="preserve"> </w:t>
      </w:r>
    </w:p>
    <w:p w14:paraId="69C3F700" w14:textId="731043C0" w:rsidR="00291717" w:rsidRPr="00DF7D0D" w:rsidRDefault="00291717" w:rsidP="00291717">
      <w:pPr>
        <w:pStyle w:val="BodyParagraph"/>
      </w:pPr>
      <w:r>
        <w:t>Drawing from a different tradition, psychology literature demonstrated how superhero iconography empowers therapeutic expression (Lawrence, 2006), while n</w:t>
      </w:r>
      <w:r w:rsidRPr="00331744">
        <w:t xml:space="preserve">arrative psychology </w:t>
      </w:r>
      <w:r>
        <w:t xml:space="preserve">proved </w:t>
      </w:r>
      <w:r w:rsidRPr="00331744">
        <w:t xml:space="preserve">that people who </w:t>
      </w:r>
      <w:r>
        <w:t>develop</w:t>
      </w:r>
      <w:r w:rsidRPr="00331744">
        <w:t xml:space="preserve"> positive story arcs exhibit greater resiliency and </w:t>
      </w:r>
      <w:r>
        <w:t>self-esteem</w:t>
      </w:r>
      <w:r w:rsidRPr="00331744">
        <w:t xml:space="preserve"> (McAdams &amp; McLean, 2013; Murray, 2003). </w:t>
      </w:r>
      <w:r>
        <w:t>Therefore, combining narrative inquiry and CDT</w:t>
      </w:r>
      <w:r w:rsidR="0042521D">
        <w:t>-</w:t>
      </w:r>
      <w:r>
        <w:t xml:space="preserve">recommended multimedia approaches with culturally available stock stories and narrative psychology led to a unique method of creating narratives via comic books to </w:t>
      </w:r>
      <w:r>
        <w:lastRenderedPageBreak/>
        <w:t xml:space="preserve">provide an accessible story structure that empowers </w:t>
      </w:r>
      <w:r w:rsidR="007353BC">
        <w:t>collaborators</w:t>
      </w:r>
      <w:r>
        <w:t xml:space="preserve"> as heroes of their own journey in opposition to victimization stereotypes.</w:t>
      </w:r>
    </w:p>
    <w:p w14:paraId="1DE7A40D" w14:textId="77777777" w:rsidR="00291717" w:rsidRDefault="00291717" w:rsidP="00291717">
      <w:pPr>
        <w:pStyle w:val="APALevel2"/>
      </w:pPr>
      <w:r>
        <w:t>Instrument Development</w:t>
      </w:r>
    </w:p>
    <w:p w14:paraId="5A8D5386" w14:textId="34231942" w:rsidR="00291717" w:rsidRPr="00331744" w:rsidRDefault="00291717" w:rsidP="00291717">
      <w:pPr>
        <w:pStyle w:val="BodyParagraph"/>
      </w:pPr>
      <w:bookmarkStart w:id="8" w:name="_Toc106879625"/>
      <w:r>
        <w:t>Semi</w:t>
      </w:r>
      <w:r w:rsidRPr="00331744">
        <w:t>-structured interview scripts were developed</w:t>
      </w:r>
      <w:r>
        <w:t xml:space="preserve"> with a clear beginning, middle, and end of the transition journey</w:t>
      </w:r>
      <w:r w:rsidR="0042521D">
        <w:t>. These were</w:t>
      </w:r>
      <w:r>
        <w:t xml:space="preserve"> based upon </w:t>
      </w:r>
      <w:r w:rsidR="0042521D">
        <w:t xml:space="preserve">the </w:t>
      </w:r>
      <w:r>
        <w:t>adaptations noted above and holistic inquiry survey of community integration using</w:t>
      </w:r>
      <w:r w:rsidRPr="00331744">
        <w:t xml:space="preserve"> Rosenbaum and Gorter's (2012) </w:t>
      </w:r>
      <w:r>
        <w:t>six participation categories derived from</w:t>
      </w:r>
      <w:r w:rsidRPr="00331744">
        <w:t xml:space="preserve"> </w:t>
      </w:r>
      <w:r>
        <w:rPr>
          <w:color w:val="000000"/>
        </w:rPr>
        <w:t>IFC</w:t>
      </w:r>
      <w:r w:rsidRPr="00331744">
        <w:rPr>
          <w:color w:val="000000"/>
        </w:rPr>
        <w:t xml:space="preserve"> </w:t>
      </w:r>
      <w:r w:rsidRPr="00331744">
        <w:t>language</w:t>
      </w:r>
      <w:r>
        <w:t xml:space="preserve">: </w:t>
      </w:r>
      <w:r w:rsidRPr="00684086">
        <w:rPr>
          <w:i/>
          <w:iCs/>
        </w:rPr>
        <w:t>family, fun, friends, fitness, function, and future</w:t>
      </w:r>
      <w:r w:rsidRPr="00331744">
        <w:t xml:space="preserve">. </w:t>
      </w:r>
      <w:r>
        <w:t>Next, methodological and population</w:t>
      </w:r>
      <w:r w:rsidRPr="00331744">
        <w:t xml:space="preserve"> experts </w:t>
      </w:r>
      <w:r>
        <w:t>reviewed the script and made recommendations while the language was confirmed at</w:t>
      </w:r>
      <w:r w:rsidRPr="00331744">
        <w:t xml:space="preserve"> a</w:t>
      </w:r>
      <w:r>
        <w:t xml:space="preserve"> 5th </w:t>
      </w:r>
      <w:r w:rsidRPr="00331744">
        <w:t>grade level through Microsoft Word</w:t>
      </w:r>
      <w:r>
        <w:t xml:space="preserve"> analysis</w:t>
      </w:r>
      <w:r w:rsidRPr="00331744">
        <w:t xml:space="preserve">. </w:t>
      </w:r>
    </w:p>
    <w:p w14:paraId="7ACA1C7C" w14:textId="77777777" w:rsidR="00291717" w:rsidRDefault="00291717" w:rsidP="00291717">
      <w:pPr>
        <w:pStyle w:val="APALevel2"/>
      </w:pPr>
      <w:bookmarkStart w:id="9" w:name="_Toc106879639"/>
      <w:r>
        <w:t>Sampling</w:t>
      </w:r>
    </w:p>
    <w:p w14:paraId="36B3B4F6" w14:textId="77777777" w:rsidR="00291717" w:rsidRPr="00331744" w:rsidRDefault="00291717" w:rsidP="00291717">
      <w:pPr>
        <w:pStyle w:val="APALevel3"/>
      </w:pPr>
      <w:r w:rsidRPr="00331744">
        <w:t>Setting</w:t>
      </w:r>
      <w:bookmarkEnd w:id="9"/>
    </w:p>
    <w:p w14:paraId="27321B35" w14:textId="77777777" w:rsidR="00291717" w:rsidRDefault="00291717" w:rsidP="00291717">
      <w:pPr>
        <w:spacing w:line="480" w:lineRule="auto"/>
      </w:pPr>
      <w:r>
        <w:t>Participants were selected from</w:t>
      </w:r>
      <w:r w:rsidRPr="00331744">
        <w:t xml:space="preserve"> three programs </w:t>
      </w:r>
      <w:r>
        <w:t xml:space="preserve">through an organization serving persons with IDD in North Florida. Confidentiality documents were signed by the researcher and agency supervisors that assisted in sampling per </w:t>
      </w:r>
      <w:r w:rsidRPr="00331744">
        <w:t>IRB</w:t>
      </w:r>
      <w:r>
        <w:t xml:space="preserve"> recommendation.</w:t>
      </w:r>
    </w:p>
    <w:p w14:paraId="484A91ED" w14:textId="0495AA4F" w:rsidR="00291717" w:rsidRPr="00331744" w:rsidRDefault="00291717" w:rsidP="00291717">
      <w:pPr>
        <w:pStyle w:val="APALevel3"/>
      </w:pPr>
      <w:r w:rsidRPr="00331744">
        <w:t>Participant Selection</w:t>
      </w:r>
      <w:bookmarkEnd w:id="8"/>
      <w:r>
        <w:t xml:space="preserve"> </w:t>
      </w:r>
      <w:r w:rsidR="00FD5960">
        <w:t>and</w:t>
      </w:r>
      <w:r>
        <w:t xml:space="preserve"> Sample Size</w:t>
      </w:r>
    </w:p>
    <w:p w14:paraId="6FCD0A7C" w14:textId="77777777" w:rsidR="00291717" w:rsidRPr="00331744" w:rsidRDefault="00291717" w:rsidP="00291717">
      <w:pPr>
        <w:pStyle w:val="BodyParagraph"/>
      </w:pPr>
      <w:r w:rsidRPr="00331744">
        <w:t xml:space="preserve">Purposeful sampling was conducted </w:t>
      </w:r>
      <w:r>
        <w:t>to identify attendees who</w:t>
      </w:r>
      <w:r w:rsidRPr="00331744">
        <w:t>:</w:t>
      </w:r>
    </w:p>
    <w:p w14:paraId="28182BA3" w14:textId="07B192AD" w:rsidR="00291717" w:rsidRPr="00331744" w:rsidRDefault="00291717" w:rsidP="00291717">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contextualSpacing/>
      </w:pPr>
      <w:r>
        <w:t>Had an IDD</w:t>
      </w:r>
      <w:r w:rsidR="00FD5960">
        <w:t>-</w:t>
      </w:r>
      <w:r>
        <w:t>related diagnosis</w:t>
      </w:r>
    </w:p>
    <w:p w14:paraId="424ED7F8" w14:textId="77777777" w:rsidR="00291717" w:rsidRPr="00331744" w:rsidRDefault="00291717" w:rsidP="00291717">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contextualSpacing/>
      </w:pPr>
      <w:r>
        <w:t>Received</w:t>
      </w:r>
      <w:r w:rsidRPr="00331744">
        <w:t xml:space="preserve"> </w:t>
      </w:r>
      <w:r>
        <w:t xml:space="preserve">IEP </w:t>
      </w:r>
      <w:r w:rsidRPr="00331744">
        <w:t>transition services</w:t>
      </w:r>
    </w:p>
    <w:p w14:paraId="65C01112" w14:textId="327E26EA" w:rsidR="00291717" w:rsidRPr="00331744" w:rsidRDefault="00291717" w:rsidP="00291717">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contextualSpacing/>
      </w:pPr>
      <w:r>
        <w:t>Exited</w:t>
      </w:r>
      <w:r w:rsidRPr="00331744">
        <w:t xml:space="preserve"> secondary education within </w:t>
      </w:r>
      <w:r w:rsidR="00FD5960">
        <w:t>10</w:t>
      </w:r>
      <w:r w:rsidRPr="00331744">
        <w:t xml:space="preserve"> years (ages 18-32)</w:t>
      </w:r>
    </w:p>
    <w:p w14:paraId="3A705107" w14:textId="77777777" w:rsidR="00275E79" w:rsidRDefault="00291717" w:rsidP="00275E79">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contextualSpacing/>
      </w:pPr>
      <w:r>
        <w:t>Possessed b</w:t>
      </w:r>
      <w:r w:rsidRPr="00331744">
        <w:t>asic speech or augmented communication ability</w:t>
      </w:r>
    </w:p>
    <w:p w14:paraId="1D388412" w14:textId="5878F5FB" w:rsidR="00275E79" w:rsidRDefault="00291717" w:rsidP="00275E79">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contextualSpacing/>
      </w:pPr>
      <w:r>
        <w:t>Received</w:t>
      </w:r>
      <w:r w:rsidRPr="00331744">
        <w:t xml:space="preserve"> </w:t>
      </w:r>
      <w:r w:rsidR="00275E79">
        <w:t>vocational rehabilitation services (VR)</w:t>
      </w:r>
    </w:p>
    <w:p w14:paraId="645FE64A" w14:textId="4E128FA8" w:rsidR="00275E79" w:rsidRPr="00275E79" w:rsidRDefault="00275E79" w:rsidP="00275E7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contextualSpacing/>
      </w:pPr>
      <w:r w:rsidRPr="00275E79">
        <w:lastRenderedPageBreak/>
        <w:t>By studying young adults within a decade of graduation, I was able to extend the</w:t>
      </w:r>
      <w:r>
        <w:t xml:space="preserve"> </w:t>
      </w:r>
      <w:r w:rsidRPr="00275E79">
        <w:t xml:space="preserve">study’s scope beyond the oft-studied immediate aftermath of transition. Additionally, I extended the age range to 32 as persons with IDD often stay in school until the </w:t>
      </w:r>
      <w:proofErr w:type="gramStart"/>
      <w:r w:rsidRPr="00275E79">
        <w:t>year</w:t>
      </w:r>
      <w:proofErr w:type="gramEnd"/>
      <w:r w:rsidRPr="00275E79">
        <w:t xml:space="preserve"> they turn 22, as allowed under IDEA.</w:t>
      </w:r>
    </w:p>
    <w:p w14:paraId="71C4158D" w14:textId="2D5D65DD" w:rsidR="00291717" w:rsidRDefault="00291717" w:rsidP="00291717">
      <w:pPr>
        <w:pStyle w:val="APALevel3"/>
      </w:pPr>
      <w:r>
        <w:t xml:space="preserve">Recruitment </w:t>
      </w:r>
      <w:r w:rsidR="00FD5960">
        <w:t>and</w:t>
      </w:r>
      <w:r>
        <w:t xml:space="preserve"> Consent</w:t>
      </w:r>
    </w:p>
    <w:p w14:paraId="0A7BC294" w14:textId="4AFDFA93" w:rsidR="00291717" w:rsidRPr="007113B0" w:rsidRDefault="00291717" w:rsidP="00291717">
      <w:pPr>
        <w:pStyle w:val="BodyParagraph"/>
      </w:pPr>
      <w:r>
        <w:t>Seven</w:t>
      </w:r>
      <w:r w:rsidRPr="007113B0">
        <w:t xml:space="preserve"> participants were recruited, </w:t>
      </w:r>
      <w:r>
        <w:t xml:space="preserve">and all were able to provide legal consent. IRB oversight confirmed consent forms were transparent and free of coercion. Restatement of informed consent was also built into each interaction. </w:t>
      </w:r>
      <w:r w:rsidR="007353BC">
        <w:t>Collaborators</w:t>
      </w:r>
      <w:r>
        <w:t xml:space="preserve"> were monitored for </w:t>
      </w:r>
      <w:r w:rsidRPr="00331744">
        <w:t>hesitancy</w:t>
      </w:r>
      <w:r>
        <w:t>, confusion,</w:t>
      </w:r>
      <w:r w:rsidRPr="00331744">
        <w:t xml:space="preserve"> </w:t>
      </w:r>
      <w:r>
        <w:t>or other signs of</w:t>
      </w:r>
      <w:r w:rsidRPr="00331744">
        <w:t xml:space="preserve"> involuntary consent </w:t>
      </w:r>
      <w:r>
        <w:t>as well as signs of intentional dishonesty; however, such concerns did not arise.</w:t>
      </w:r>
    </w:p>
    <w:p w14:paraId="48E46116" w14:textId="77777777" w:rsidR="00291717" w:rsidRPr="007E191F" w:rsidRDefault="00291717" w:rsidP="00291717">
      <w:pPr>
        <w:pStyle w:val="APALevel1"/>
      </w:pPr>
      <w:r w:rsidRPr="007E191F">
        <w:t>Data Collection</w:t>
      </w:r>
    </w:p>
    <w:p w14:paraId="230A26FA" w14:textId="751F70C3" w:rsidR="00291717" w:rsidRPr="00331744" w:rsidRDefault="00291717" w:rsidP="00291717">
      <w:pPr>
        <w:spacing w:line="480" w:lineRule="auto"/>
      </w:pPr>
      <w:r>
        <w:t xml:space="preserve">Collaborations required </w:t>
      </w:r>
      <w:r w:rsidRPr="00331744">
        <w:t xml:space="preserve">five </w:t>
      </w:r>
      <w:r>
        <w:t>to</w:t>
      </w:r>
      <w:r w:rsidRPr="00331744">
        <w:t xml:space="preserve"> six sessions</w:t>
      </w:r>
      <w:r>
        <w:t xml:space="preserve"> each of around 45 minutes, with no more than two interactions scheduled in a week. Allowing participants to choose secret identities from the outset created buy-in, while reinforcing the narrative structure and concretely demonstrating the importance of confidentiality (Figure 1). Raw data was collected in the first two sessions using interview scripts, then transcribed and printed. In two to three additional sessions</w:t>
      </w:r>
      <w:r w:rsidR="00F578A9">
        <w:t>,</w:t>
      </w:r>
      <w:r>
        <w:t xml:space="preserve"> the researcher and </w:t>
      </w:r>
      <w:r w:rsidR="007353BC">
        <w:t>collaborators</w:t>
      </w:r>
      <w:r>
        <w:t xml:space="preserve"> sifted through and organized raw data into narratives while selecting or creating associated images</w:t>
      </w:r>
      <w:r w:rsidRPr="00331744">
        <w:t xml:space="preserve">. </w:t>
      </w:r>
      <w:r>
        <w:t>Initially</w:t>
      </w:r>
      <w:r w:rsidR="00F578A9">
        <w:t>,</w:t>
      </w:r>
      <w:r>
        <w:t xml:space="preserve"> final text was handwritten by the researcher as agreement was reached, but this proved cumbersome and collaborator attention wandered</w:t>
      </w:r>
      <w:r w:rsidR="00F578A9">
        <w:t xml:space="preserve">. </w:t>
      </w:r>
      <w:proofErr w:type="gramStart"/>
      <w:r w:rsidR="00F578A9">
        <w:t>S</w:t>
      </w:r>
      <w:r>
        <w:t>o</w:t>
      </w:r>
      <w:proofErr w:type="gramEnd"/>
      <w:r>
        <w:t xml:space="preserve"> the researcher began typing the text and printing it. Typing also allowed for greater on-site editing, as text was continually shared and modified with </w:t>
      </w:r>
      <w:r w:rsidR="007353BC">
        <w:t>collaborators</w:t>
      </w:r>
      <w:r>
        <w:t xml:space="preserve"> to assure their perspectives and not the language of the researcher </w:t>
      </w:r>
      <w:proofErr w:type="gramStart"/>
      <w:r>
        <w:t>w</w:t>
      </w:r>
      <w:r w:rsidR="00F578A9">
        <w:t>ere</w:t>
      </w:r>
      <w:proofErr w:type="gramEnd"/>
      <w:r>
        <w:t xml:space="preserve"> being captured.</w:t>
      </w:r>
      <w:r w:rsidRPr="007E191F">
        <w:t xml:space="preserve"> </w:t>
      </w:r>
      <w:r w:rsidR="007353BC">
        <w:t>Collaborators</w:t>
      </w:r>
      <w:r w:rsidRPr="007E191F">
        <w:t xml:space="preserve"> contribute</w:t>
      </w:r>
      <w:r>
        <w:t>d</w:t>
      </w:r>
      <w:r w:rsidRPr="007E191F">
        <w:t xml:space="preserve"> photographs, drawings, and magazine clippings</w:t>
      </w:r>
      <w:r>
        <w:t xml:space="preserve"> as well as chose from stock images via internet search. Images and texts were then arranged in </w:t>
      </w:r>
      <w:r>
        <w:lastRenderedPageBreak/>
        <w:t>narrative order and pasted into comic books formed from card stock. A final member check was then performed during an additional interaction to assure narrative accuracy. All seven</w:t>
      </w:r>
      <w:r w:rsidR="00A96693">
        <w:t xml:space="preserve"> collaborators</w:t>
      </w:r>
      <w:r>
        <w:t xml:space="preserve"> completed the process and expressed satisfaction with the results.</w:t>
      </w:r>
    </w:p>
    <w:p w14:paraId="57860E19" w14:textId="77777777" w:rsidR="00291717" w:rsidRPr="00856A97" w:rsidRDefault="00291717" w:rsidP="00291717">
      <w:pPr>
        <w:pStyle w:val="Caption"/>
        <w:rPr>
          <w:rFonts w:ascii="Times New Roman" w:hAnsi="Times New Roman" w:cs="Times New Roman"/>
          <w:color w:val="000000" w:themeColor="text1"/>
          <w:sz w:val="24"/>
          <w:szCs w:val="24"/>
        </w:rPr>
      </w:pPr>
      <w:bookmarkStart w:id="10" w:name="_Toc106879705"/>
      <w:r w:rsidRPr="00856A97">
        <w:rPr>
          <w:rFonts w:ascii="Times New Roman" w:hAnsi="Times New Roman" w:cs="Times New Roman"/>
          <w:b/>
          <w:i w:val="0"/>
          <w:iCs w:val="0"/>
          <w:color w:val="000000" w:themeColor="text1"/>
          <w:sz w:val="24"/>
          <w:szCs w:val="24"/>
        </w:rPr>
        <w:t xml:space="preserve">Figure </w:t>
      </w:r>
      <w:r w:rsidRPr="00856A97">
        <w:rPr>
          <w:rFonts w:ascii="Times New Roman" w:hAnsi="Times New Roman" w:cs="Times New Roman"/>
          <w:b/>
          <w:bCs/>
          <w:i w:val="0"/>
          <w:iCs w:val="0"/>
          <w:color w:val="000000" w:themeColor="text1"/>
          <w:sz w:val="24"/>
          <w:szCs w:val="24"/>
        </w:rPr>
        <w:fldChar w:fldCharType="begin"/>
      </w:r>
      <w:r w:rsidRPr="00856A97">
        <w:rPr>
          <w:rFonts w:ascii="Times New Roman" w:hAnsi="Times New Roman" w:cs="Times New Roman"/>
          <w:b/>
          <w:i w:val="0"/>
          <w:iCs w:val="0"/>
          <w:color w:val="000000" w:themeColor="text1"/>
          <w:sz w:val="24"/>
          <w:szCs w:val="24"/>
        </w:rPr>
        <w:instrText xml:space="preserve"> SEQ Figure \* ARABIC </w:instrText>
      </w:r>
      <w:r w:rsidRPr="00856A97">
        <w:rPr>
          <w:rFonts w:ascii="Times New Roman" w:hAnsi="Times New Roman" w:cs="Times New Roman"/>
          <w:b/>
          <w:bCs/>
          <w:i w:val="0"/>
          <w:iCs w:val="0"/>
          <w:color w:val="000000" w:themeColor="text1"/>
          <w:sz w:val="24"/>
          <w:szCs w:val="24"/>
        </w:rPr>
        <w:fldChar w:fldCharType="separate"/>
      </w:r>
      <w:r w:rsidRPr="00856A97">
        <w:rPr>
          <w:rFonts w:ascii="Times New Roman" w:hAnsi="Times New Roman" w:cs="Times New Roman"/>
          <w:b/>
          <w:i w:val="0"/>
          <w:iCs w:val="0"/>
          <w:noProof/>
          <w:color w:val="000000" w:themeColor="text1"/>
          <w:sz w:val="24"/>
          <w:szCs w:val="24"/>
        </w:rPr>
        <w:t>1</w:t>
      </w:r>
      <w:r w:rsidRPr="00856A97">
        <w:rPr>
          <w:rFonts w:ascii="Times New Roman" w:hAnsi="Times New Roman" w:cs="Times New Roman"/>
          <w:b/>
          <w:bCs/>
          <w:i w:val="0"/>
          <w:iCs w:val="0"/>
          <w:color w:val="000000" w:themeColor="text1"/>
          <w:sz w:val="24"/>
          <w:szCs w:val="24"/>
        </w:rPr>
        <w:fldChar w:fldCharType="end"/>
      </w:r>
      <w:r w:rsidRPr="00856A97">
        <w:rPr>
          <w:rFonts w:ascii="Times New Roman" w:hAnsi="Times New Roman" w:cs="Times New Roman"/>
          <w:color w:val="000000" w:themeColor="text1"/>
          <w:sz w:val="24"/>
          <w:szCs w:val="24"/>
        </w:rPr>
        <w:br/>
      </w:r>
      <w:r w:rsidRPr="00856A97">
        <w:rPr>
          <w:rFonts w:ascii="Times New Roman" w:hAnsi="Times New Roman" w:cs="Times New Roman"/>
          <w:color w:val="000000" w:themeColor="text1"/>
          <w:sz w:val="24"/>
          <w:szCs w:val="24"/>
        </w:rPr>
        <w:br/>
        <w:t>Covers from Two Completed Narratives</w:t>
      </w:r>
      <w:bookmarkEnd w:id="10"/>
    </w:p>
    <w:p w14:paraId="4CD7C7A6" w14:textId="77777777" w:rsidR="00291717" w:rsidRPr="00D858E7" w:rsidRDefault="00291717" w:rsidP="00291717">
      <w:pPr>
        <w:spacing w:line="480" w:lineRule="auto"/>
        <w:rPr>
          <w:i/>
          <w:iCs/>
        </w:rPr>
      </w:pPr>
      <w:r w:rsidRPr="00331744">
        <w:rPr>
          <w:i/>
          <w:iCs/>
          <w:noProof/>
        </w:rPr>
        <w:drawing>
          <wp:inline distT="0" distB="0" distL="0" distR="0" wp14:anchorId="6F0E41B5" wp14:editId="10FBA4E8">
            <wp:extent cx="5048250" cy="3657645"/>
            <wp:effectExtent l="19050" t="19050" r="19050" b="19050"/>
            <wp:docPr id="1" name="Picture 1" descr="Figure 1. The covers of two comic books reading The Dark Knight's Story with a Batman logo below and The Life of Sports Guy with a long, narrow game fish bel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The covers of two comic books reading The Dark Knight's Story with a Batman logo below and The Life of Sports Guy with a long, narrow game fish below.&#10;"/>
                    <pic:cNvPicPr/>
                  </pic:nvPicPr>
                  <pic:blipFill>
                    <a:blip r:embed="rId8"/>
                    <a:stretch>
                      <a:fillRect/>
                    </a:stretch>
                  </pic:blipFill>
                  <pic:spPr>
                    <a:xfrm>
                      <a:off x="0" y="0"/>
                      <a:ext cx="5189153" cy="3759734"/>
                    </a:xfrm>
                    <a:prstGeom prst="rect">
                      <a:avLst/>
                    </a:prstGeom>
                    <a:ln>
                      <a:solidFill>
                        <a:schemeClr val="tx1"/>
                      </a:solidFill>
                    </a:ln>
                  </pic:spPr>
                </pic:pic>
              </a:graphicData>
            </a:graphic>
          </wp:inline>
        </w:drawing>
      </w:r>
    </w:p>
    <w:p w14:paraId="0D12FABB" w14:textId="77777777" w:rsidR="00291717" w:rsidRPr="00331744" w:rsidRDefault="00291717" w:rsidP="00291717">
      <w:pPr>
        <w:pStyle w:val="APALevel1"/>
      </w:pPr>
      <w:bookmarkStart w:id="11" w:name="_Toc106879629"/>
      <w:r w:rsidRPr="00331744">
        <w:t>Data Analysis</w:t>
      </w:r>
      <w:bookmarkEnd w:id="11"/>
    </w:p>
    <w:p w14:paraId="2C29A017" w14:textId="57415FDA" w:rsidR="00291717" w:rsidRDefault="00291717" w:rsidP="00DF5801">
      <w:pPr>
        <w:spacing w:after="0" w:line="480" w:lineRule="auto"/>
      </w:pPr>
      <w:bookmarkStart w:id="12" w:name="_Toc106879630"/>
      <w:r>
        <w:t>Two</w:t>
      </w:r>
      <w:r w:rsidRPr="00331744">
        <w:t xml:space="preserve"> </w:t>
      </w:r>
      <w:r>
        <w:t>rounds each</w:t>
      </w:r>
      <w:r w:rsidR="008A6EA6">
        <w:t xml:space="preserve"> of</w:t>
      </w:r>
      <w:r>
        <w:t xml:space="preserve"> </w:t>
      </w:r>
      <w:r w:rsidRPr="00331744">
        <w:t xml:space="preserve">first </w:t>
      </w:r>
      <w:r>
        <w:t>cycle coding and</w:t>
      </w:r>
      <w:r w:rsidRPr="00331744">
        <w:t xml:space="preserve"> second cycle coding </w:t>
      </w:r>
      <w:r>
        <w:t>were conducted per</w:t>
      </w:r>
      <w:r w:rsidRPr="00331744">
        <w:t xml:space="preserve"> Polkinghorne’s </w:t>
      </w:r>
      <w:r>
        <w:t>narrative analysis and a</w:t>
      </w:r>
      <w:r w:rsidRPr="00331744">
        <w:t xml:space="preserve">nalysis of </w:t>
      </w:r>
      <w:r>
        <w:t>n</w:t>
      </w:r>
      <w:r w:rsidRPr="00331744">
        <w:t xml:space="preserve">arratives as </w:t>
      </w:r>
      <w:r>
        <w:t>modified</w:t>
      </w:r>
      <w:r w:rsidRPr="00331744">
        <w:t xml:space="preserve"> by Kim (2016</w:t>
      </w:r>
      <w:r>
        <w:t xml:space="preserve">). To respect the intended communication of </w:t>
      </w:r>
      <w:r w:rsidR="00A96693">
        <w:t>collaborators</w:t>
      </w:r>
      <w:r>
        <w:t>, only member-checked completed narratives were coded and analyzed. First cycle provisional codes derived from the literature review applied deductive reasoning to narrative text and images while open concept coding allowed for inductive analysis</w:t>
      </w:r>
      <w:r w:rsidRPr="00331744">
        <w:t>.</w:t>
      </w:r>
      <w:r>
        <w:t xml:space="preserve"> In this way, data was both related to existing concepts and </w:t>
      </w:r>
      <w:r>
        <w:lastRenderedPageBreak/>
        <w:t>examined for novel expression. For second cycle narrative coding, the books were read aloud and compared, then their overarching themes were summarized into three sentences (beginning, middle, and end). Finally, pattern coding was used for triangulation of first cycle and narrative coding into categories and emergent themes. After multiple iterations of pattern analysis, four themes emerged.</w:t>
      </w:r>
      <w:bookmarkStart w:id="13" w:name="_Toc478564739"/>
      <w:bookmarkStart w:id="14" w:name="_Toc106879638"/>
      <w:bookmarkEnd w:id="12"/>
    </w:p>
    <w:p w14:paraId="53EF691F" w14:textId="77777777" w:rsidR="00291717" w:rsidRPr="00331744" w:rsidRDefault="00291717" w:rsidP="00DF5801">
      <w:pPr>
        <w:pStyle w:val="APALevel1"/>
      </w:pPr>
      <w:r w:rsidRPr="00331744">
        <w:t>Results</w:t>
      </w:r>
      <w:bookmarkEnd w:id="13"/>
      <w:bookmarkEnd w:id="14"/>
      <w:r w:rsidRPr="00331744">
        <w:t xml:space="preserve"> </w:t>
      </w:r>
    </w:p>
    <w:p w14:paraId="22A0B124" w14:textId="77777777" w:rsidR="00291717" w:rsidRPr="00331744" w:rsidRDefault="00291717" w:rsidP="00DF5801">
      <w:pPr>
        <w:pStyle w:val="APALevel2"/>
      </w:pPr>
      <w:bookmarkStart w:id="15" w:name="_Toc106879640"/>
      <w:r w:rsidRPr="00331744">
        <w:t>Demographics</w:t>
      </w:r>
      <w:bookmarkEnd w:id="15"/>
    </w:p>
    <w:p w14:paraId="09B8749E" w14:textId="6A11236A" w:rsidR="00291717" w:rsidRDefault="00291717" w:rsidP="00291717">
      <w:pPr>
        <w:spacing w:line="480" w:lineRule="auto"/>
      </w:pPr>
      <w:r>
        <w:t xml:space="preserve">Two females and five </w:t>
      </w:r>
      <w:proofErr w:type="gramStart"/>
      <w:r>
        <w:t>males</w:t>
      </w:r>
      <w:proofErr w:type="gramEnd"/>
      <w:r>
        <w:t xml:space="preserve"> </w:t>
      </w:r>
      <w:r w:rsidR="00A96693">
        <w:t>collaborators</w:t>
      </w:r>
      <w:r>
        <w:t xml:space="preserve"> participated, reflecting an IDD category that skews male. </w:t>
      </w:r>
      <w:r w:rsidRPr="00331744">
        <w:t xml:space="preserve">One male participant was a first-generation immigrant with parents hailing from </w:t>
      </w:r>
      <w:r>
        <w:t>Asia and Africa</w:t>
      </w:r>
      <w:r w:rsidRPr="00331744">
        <w:t xml:space="preserve">. All other participants were </w:t>
      </w:r>
      <w:r>
        <w:t xml:space="preserve">White, not Hispanic. </w:t>
      </w:r>
      <w:r w:rsidRPr="00331744">
        <w:t xml:space="preserve">Two </w:t>
      </w:r>
      <w:r w:rsidR="00A96693">
        <w:t>collaborator</w:t>
      </w:r>
      <w:r>
        <w:t>s</w:t>
      </w:r>
      <w:r w:rsidRPr="00331744">
        <w:t xml:space="preserve"> fell</w:t>
      </w:r>
      <w:r w:rsidR="00A96693">
        <w:t xml:space="preserve"> </w:t>
      </w:r>
      <w:r w:rsidRPr="00331744">
        <w:t xml:space="preserve">within </w:t>
      </w:r>
      <w:r>
        <w:t xml:space="preserve">what was labeled </w:t>
      </w:r>
      <w:r w:rsidRPr="00331744">
        <w:t xml:space="preserve">the </w:t>
      </w:r>
      <w:r>
        <w:t>e</w:t>
      </w:r>
      <w:r w:rsidRPr="00331744">
        <w:t xml:space="preserve">arly </w:t>
      </w:r>
      <w:r>
        <w:t>t</w:t>
      </w:r>
      <w:r w:rsidRPr="00331744">
        <w:t xml:space="preserve">ransition period (19-24), three </w:t>
      </w:r>
      <w:r>
        <w:t>m</w:t>
      </w:r>
      <w:r w:rsidRPr="00331744">
        <w:t>id</w:t>
      </w:r>
      <w:r>
        <w:t>-t</w:t>
      </w:r>
      <w:r w:rsidRPr="00331744">
        <w:t xml:space="preserve">ransition (25-28), and two </w:t>
      </w:r>
      <w:r>
        <w:t>l</w:t>
      </w:r>
      <w:r w:rsidRPr="00331744">
        <w:t xml:space="preserve">ate </w:t>
      </w:r>
      <w:r>
        <w:t>t</w:t>
      </w:r>
      <w:r w:rsidRPr="00331744">
        <w:t>ransition (29-32).</w:t>
      </w:r>
      <w:r>
        <w:t xml:space="preserve"> Two </w:t>
      </w:r>
      <w:r w:rsidRPr="00331744">
        <w:t xml:space="preserve">were diagnosed with ASD, one </w:t>
      </w:r>
      <w:r>
        <w:t xml:space="preserve">with </w:t>
      </w:r>
      <w:r w:rsidRPr="00331744">
        <w:t xml:space="preserve">Down syndrome, one </w:t>
      </w:r>
      <w:r>
        <w:t xml:space="preserve">with </w:t>
      </w:r>
      <w:r w:rsidRPr="00331744">
        <w:t xml:space="preserve">ADHD, and one </w:t>
      </w:r>
      <w:r>
        <w:t xml:space="preserve">with </w:t>
      </w:r>
      <w:r w:rsidRPr="00331744">
        <w:t xml:space="preserve">cerebral palsy. </w:t>
      </w:r>
      <w:r>
        <w:t>Other diagnoses included</w:t>
      </w:r>
      <w:r w:rsidRPr="00331744">
        <w:t xml:space="preserve"> bipolar schizophrenia, visual impairment, and auditory impairment. Three </w:t>
      </w:r>
      <w:r w:rsidR="00A96693">
        <w:t>collaborator</w:t>
      </w:r>
      <w:r>
        <w:t>s</w:t>
      </w:r>
      <w:r w:rsidRPr="00331744">
        <w:t xml:space="preserve"> had a history of seizure. </w:t>
      </w:r>
      <w:r>
        <w:t>Three</w:t>
      </w:r>
      <w:r w:rsidRPr="00331744">
        <w:t xml:space="preserve"> lived at home with parents, three in a group home, and one lived in supported living. </w:t>
      </w:r>
      <w:r>
        <w:t>T</w:t>
      </w:r>
      <w:r w:rsidRPr="00331744">
        <w:t xml:space="preserve">wo </w:t>
      </w:r>
      <w:r w:rsidR="00A96693">
        <w:t xml:space="preserve">collaborators </w:t>
      </w:r>
      <w:r w:rsidRPr="00331744">
        <w:t>were employed part-time</w:t>
      </w:r>
      <w:r>
        <w:t xml:space="preserve"> while f</w:t>
      </w:r>
      <w:r w:rsidRPr="00331744">
        <w:t xml:space="preserve">our </w:t>
      </w:r>
      <w:r>
        <w:t>reported previous employment</w:t>
      </w:r>
      <w:r w:rsidRPr="00331744">
        <w:t xml:space="preserve">. One never held paid </w:t>
      </w:r>
      <w:r>
        <w:t>employment</w:t>
      </w:r>
      <w:r w:rsidRPr="00331744">
        <w:t xml:space="preserve">. One collaborator identified as </w:t>
      </w:r>
      <w:proofErr w:type="gramStart"/>
      <w:r>
        <w:t>gay</w:t>
      </w:r>
      <w:r w:rsidR="00856A97">
        <w:t>;</w:t>
      </w:r>
      <w:proofErr w:type="gramEnd"/>
      <w:r w:rsidR="00856A97">
        <w:t xml:space="preserve"> </w:t>
      </w:r>
      <w:r w:rsidRPr="00331744">
        <w:t>five referenced heterosexual relationships</w:t>
      </w:r>
      <w:r>
        <w:t xml:space="preserve"> (</w:t>
      </w:r>
      <w:r w:rsidRPr="00331744">
        <w:t>Table 1</w:t>
      </w:r>
      <w:r>
        <w:t>)</w:t>
      </w:r>
      <w:r w:rsidRPr="00331744">
        <w:t>.</w:t>
      </w:r>
      <w:bookmarkStart w:id="16" w:name="_Toc106182338"/>
    </w:p>
    <w:p w14:paraId="045E9044" w14:textId="77777777" w:rsidR="00291717" w:rsidRDefault="00291717" w:rsidP="00291717">
      <w:pPr>
        <w:rPr>
          <w:b/>
          <w:szCs w:val="20"/>
        </w:rPr>
      </w:pPr>
      <w:r>
        <w:rPr>
          <w:b/>
          <w:bCs/>
        </w:rPr>
        <w:br w:type="page"/>
      </w:r>
    </w:p>
    <w:p w14:paraId="3AD14364" w14:textId="77777777" w:rsidR="00291717" w:rsidRPr="00856A97" w:rsidRDefault="00291717" w:rsidP="00291717">
      <w:pPr>
        <w:pStyle w:val="Caption"/>
        <w:rPr>
          <w:rFonts w:ascii="Times New Roman" w:hAnsi="Times New Roman" w:cs="Times New Roman"/>
          <w:color w:val="000000" w:themeColor="text1"/>
          <w:sz w:val="24"/>
          <w:szCs w:val="24"/>
        </w:rPr>
      </w:pPr>
      <w:r w:rsidRPr="00856A97">
        <w:rPr>
          <w:rFonts w:ascii="Times New Roman" w:hAnsi="Times New Roman" w:cs="Times New Roman"/>
          <w:b/>
          <w:i w:val="0"/>
          <w:iCs w:val="0"/>
          <w:color w:val="000000" w:themeColor="text1"/>
          <w:sz w:val="24"/>
          <w:szCs w:val="24"/>
        </w:rPr>
        <w:lastRenderedPageBreak/>
        <w:t xml:space="preserve">Table </w:t>
      </w:r>
      <w:r w:rsidRPr="00856A97">
        <w:rPr>
          <w:rFonts w:ascii="Times New Roman" w:hAnsi="Times New Roman" w:cs="Times New Roman"/>
          <w:b/>
          <w:bCs/>
          <w:i w:val="0"/>
          <w:iCs w:val="0"/>
          <w:color w:val="000000" w:themeColor="text1"/>
          <w:sz w:val="24"/>
          <w:szCs w:val="24"/>
        </w:rPr>
        <w:fldChar w:fldCharType="begin"/>
      </w:r>
      <w:r w:rsidRPr="00856A97">
        <w:rPr>
          <w:rFonts w:ascii="Times New Roman" w:hAnsi="Times New Roman" w:cs="Times New Roman"/>
          <w:b/>
          <w:i w:val="0"/>
          <w:iCs w:val="0"/>
          <w:color w:val="000000" w:themeColor="text1"/>
          <w:sz w:val="24"/>
          <w:szCs w:val="24"/>
        </w:rPr>
        <w:instrText xml:space="preserve"> SEQ Table \* ARABIC </w:instrText>
      </w:r>
      <w:r w:rsidRPr="00856A97">
        <w:rPr>
          <w:rFonts w:ascii="Times New Roman" w:hAnsi="Times New Roman" w:cs="Times New Roman"/>
          <w:b/>
          <w:bCs/>
          <w:i w:val="0"/>
          <w:iCs w:val="0"/>
          <w:color w:val="000000" w:themeColor="text1"/>
          <w:sz w:val="24"/>
          <w:szCs w:val="24"/>
        </w:rPr>
        <w:fldChar w:fldCharType="separate"/>
      </w:r>
      <w:r w:rsidRPr="00856A97">
        <w:rPr>
          <w:rFonts w:ascii="Times New Roman" w:hAnsi="Times New Roman" w:cs="Times New Roman"/>
          <w:b/>
          <w:i w:val="0"/>
          <w:iCs w:val="0"/>
          <w:noProof/>
          <w:color w:val="000000" w:themeColor="text1"/>
          <w:sz w:val="24"/>
          <w:szCs w:val="24"/>
        </w:rPr>
        <w:t>1</w:t>
      </w:r>
      <w:r w:rsidRPr="00856A97">
        <w:rPr>
          <w:rFonts w:ascii="Times New Roman" w:hAnsi="Times New Roman" w:cs="Times New Roman"/>
          <w:b/>
          <w:bCs/>
          <w:i w:val="0"/>
          <w:iCs w:val="0"/>
          <w:color w:val="000000" w:themeColor="text1"/>
          <w:sz w:val="24"/>
          <w:szCs w:val="24"/>
        </w:rPr>
        <w:fldChar w:fldCharType="end"/>
      </w:r>
      <w:r w:rsidRPr="00856A97">
        <w:rPr>
          <w:rFonts w:ascii="Times New Roman" w:hAnsi="Times New Roman" w:cs="Times New Roman"/>
          <w:color w:val="000000" w:themeColor="text1"/>
          <w:sz w:val="24"/>
          <w:szCs w:val="24"/>
        </w:rPr>
        <w:br/>
      </w:r>
      <w:r w:rsidRPr="00856A97">
        <w:rPr>
          <w:rFonts w:ascii="Times New Roman" w:hAnsi="Times New Roman" w:cs="Times New Roman"/>
          <w:color w:val="000000" w:themeColor="text1"/>
          <w:sz w:val="24"/>
          <w:szCs w:val="24"/>
        </w:rPr>
        <w:br/>
        <w:t>Collaborator Demographics (N=7)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Collaborator Demographics (N=7)"/>
        <w:tblDescription w:val="This is a table showing the characteristics of the study collaborators, who included five males and two females. Information on sexual identity, diagnoses, employment, and race/ethnicity are also included."/>
      </w:tblPr>
      <w:tblGrid>
        <w:gridCol w:w="2751"/>
        <w:gridCol w:w="1682"/>
        <w:gridCol w:w="2826"/>
        <w:gridCol w:w="139"/>
        <w:gridCol w:w="1458"/>
      </w:tblGrid>
      <w:tr w:rsidR="00291717" w:rsidRPr="00331744" w14:paraId="01B6199A" w14:textId="77777777" w:rsidTr="00E31F40">
        <w:tc>
          <w:tcPr>
            <w:tcW w:w="2751" w:type="dxa"/>
            <w:tcBorders>
              <w:top w:val="single" w:sz="4" w:space="0" w:color="auto"/>
              <w:bottom w:val="single" w:sz="4" w:space="0" w:color="auto"/>
            </w:tcBorders>
          </w:tcPr>
          <w:p w14:paraId="09132022" w14:textId="77777777" w:rsidR="00291717" w:rsidRPr="0074477F" w:rsidRDefault="00291717" w:rsidP="00E31F40">
            <w:pPr>
              <w:contextualSpacing/>
              <w:rPr>
                <w:rFonts w:ascii="Times New Roman" w:hAnsi="Times New Roman" w:cs="Times New Roman"/>
                <w:sz w:val="24"/>
                <w:szCs w:val="24"/>
              </w:rPr>
            </w:pPr>
            <w:r w:rsidRPr="0074477F">
              <w:rPr>
                <w:rFonts w:ascii="Times New Roman" w:hAnsi="Times New Roman" w:cs="Times New Roman"/>
                <w:sz w:val="24"/>
                <w:szCs w:val="24"/>
              </w:rPr>
              <w:t>Characteristic</w:t>
            </w:r>
          </w:p>
        </w:tc>
        <w:tc>
          <w:tcPr>
            <w:tcW w:w="1682" w:type="dxa"/>
            <w:tcBorders>
              <w:top w:val="single" w:sz="4" w:space="0" w:color="auto"/>
              <w:bottom w:val="single" w:sz="4" w:space="0" w:color="auto"/>
            </w:tcBorders>
          </w:tcPr>
          <w:p w14:paraId="3DC472CC"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i/>
                <w:iCs/>
                <w:sz w:val="24"/>
                <w:szCs w:val="24"/>
              </w:rPr>
              <w:t>n</w:t>
            </w:r>
          </w:p>
        </w:tc>
        <w:tc>
          <w:tcPr>
            <w:tcW w:w="2826" w:type="dxa"/>
            <w:tcBorders>
              <w:top w:val="single" w:sz="4" w:space="0" w:color="auto"/>
              <w:bottom w:val="single" w:sz="4" w:space="0" w:color="auto"/>
            </w:tcBorders>
          </w:tcPr>
          <w:p w14:paraId="3474C9A9" w14:textId="77777777" w:rsidR="00291717" w:rsidRPr="0074477F" w:rsidRDefault="00291717" w:rsidP="00E31F40">
            <w:pPr>
              <w:contextualSpacing/>
              <w:rPr>
                <w:rFonts w:ascii="Times New Roman" w:hAnsi="Times New Roman" w:cs="Times New Roman"/>
                <w:sz w:val="24"/>
                <w:szCs w:val="24"/>
              </w:rPr>
            </w:pPr>
            <w:r w:rsidRPr="0074477F">
              <w:rPr>
                <w:rFonts w:ascii="Times New Roman" w:hAnsi="Times New Roman" w:cs="Times New Roman"/>
                <w:sz w:val="24"/>
                <w:szCs w:val="24"/>
              </w:rPr>
              <w:t>Characteristic</w:t>
            </w:r>
          </w:p>
        </w:tc>
        <w:tc>
          <w:tcPr>
            <w:tcW w:w="1597" w:type="dxa"/>
            <w:gridSpan w:val="2"/>
            <w:tcBorders>
              <w:top w:val="single" w:sz="4" w:space="0" w:color="auto"/>
              <w:bottom w:val="single" w:sz="4" w:space="0" w:color="auto"/>
            </w:tcBorders>
          </w:tcPr>
          <w:p w14:paraId="7F693228"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i/>
                <w:iCs/>
                <w:sz w:val="24"/>
                <w:szCs w:val="24"/>
              </w:rPr>
              <w:t>n</w:t>
            </w:r>
          </w:p>
        </w:tc>
      </w:tr>
      <w:tr w:rsidR="00291717" w:rsidRPr="00331744" w14:paraId="6B2A6291" w14:textId="77777777" w:rsidTr="00E31F40">
        <w:tc>
          <w:tcPr>
            <w:tcW w:w="2751" w:type="dxa"/>
            <w:tcBorders>
              <w:top w:val="single" w:sz="4" w:space="0" w:color="auto"/>
              <w:bottom w:val="nil"/>
            </w:tcBorders>
          </w:tcPr>
          <w:p w14:paraId="4200E02B" w14:textId="77777777" w:rsidR="00291717" w:rsidRPr="0074477F" w:rsidRDefault="00291717" w:rsidP="00E31F40">
            <w:pPr>
              <w:tabs>
                <w:tab w:val="left" w:pos="427"/>
              </w:tabs>
              <w:contextualSpacing/>
              <w:rPr>
                <w:rFonts w:ascii="Times New Roman" w:hAnsi="Times New Roman" w:cs="Times New Roman"/>
                <w:sz w:val="24"/>
                <w:szCs w:val="24"/>
              </w:rPr>
            </w:pPr>
            <w:r w:rsidRPr="0074477F">
              <w:rPr>
                <w:rFonts w:ascii="Times New Roman" w:hAnsi="Times New Roman" w:cs="Times New Roman"/>
                <w:sz w:val="24"/>
                <w:szCs w:val="24"/>
              </w:rPr>
              <w:t>Gender</w:t>
            </w:r>
          </w:p>
          <w:p w14:paraId="36A4A671"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Male</w:t>
            </w:r>
          </w:p>
          <w:p w14:paraId="65921F34"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Female</w:t>
            </w:r>
          </w:p>
        </w:tc>
        <w:tc>
          <w:tcPr>
            <w:tcW w:w="1682" w:type="dxa"/>
            <w:tcBorders>
              <w:top w:val="single" w:sz="4" w:space="0" w:color="auto"/>
              <w:bottom w:val="nil"/>
            </w:tcBorders>
          </w:tcPr>
          <w:p w14:paraId="31C40C25" w14:textId="77777777" w:rsidR="00291717" w:rsidRPr="0074477F" w:rsidRDefault="00291717" w:rsidP="00E31F40">
            <w:pPr>
              <w:contextualSpacing/>
              <w:jc w:val="center"/>
              <w:rPr>
                <w:rFonts w:ascii="Times New Roman" w:hAnsi="Times New Roman" w:cs="Times New Roman"/>
                <w:sz w:val="24"/>
                <w:szCs w:val="24"/>
              </w:rPr>
            </w:pPr>
          </w:p>
          <w:p w14:paraId="4912C3C1"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5</w:t>
            </w:r>
          </w:p>
          <w:p w14:paraId="6FEC948F"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2</w:t>
            </w:r>
          </w:p>
        </w:tc>
        <w:tc>
          <w:tcPr>
            <w:tcW w:w="2965" w:type="dxa"/>
            <w:gridSpan w:val="2"/>
            <w:tcBorders>
              <w:top w:val="single" w:sz="4" w:space="0" w:color="auto"/>
              <w:bottom w:val="nil"/>
            </w:tcBorders>
          </w:tcPr>
          <w:p w14:paraId="620C1CCC" w14:textId="77777777" w:rsidR="00291717" w:rsidRPr="0074477F" w:rsidRDefault="00291717" w:rsidP="00E31F40">
            <w:pPr>
              <w:tabs>
                <w:tab w:val="left" w:pos="427"/>
              </w:tabs>
              <w:ind w:left="432" w:hanging="432"/>
              <w:contextualSpacing/>
              <w:rPr>
                <w:rFonts w:ascii="Times New Roman" w:hAnsi="Times New Roman" w:cs="Times New Roman"/>
                <w:sz w:val="24"/>
                <w:szCs w:val="24"/>
              </w:rPr>
            </w:pPr>
            <w:r w:rsidRPr="0074477F">
              <w:rPr>
                <w:rFonts w:ascii="Times New Roman" w:hAnsi="Times New Roman" w:cs="Times New Roman"/>
                <w:sz w:val="24"/>
                <w:szCs w:val="24"/>
              </w:rPr>
              <w:t>Age</w:t>
            </w:r>
          </w:p>
          <w:p w14:paraId="05B998B4"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Early Transition (19-24)</w:t>
            </w:r>
          </w:p>
          <w:p w14:paraId="3C23D5A8"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Mid Transition (25-28)</w:t>
            </w:r>
          </w:p>
          <w:p w14:paraId="45C86493"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Late Transition (29-32)</w:t>
            </w:r>
          </w:p>
        </w:tc>
        <w:tc>
          <w:tcPr>
            <w:tcW w:w="1458" w:type="dxa"/>
            <w:tcBorders>
              <w:top w:val="single" w:sz="4" w:space="0" w:color="auto"/>
              <w:bottom w:val="nil"/>
            </w:tcBorders>
          </w:tcPr>
          <w:p w14:paraId="33C72D60" w14:textId="77777777" w:rsidR="00291717" w:rsidRPr="0074477F" w:rsidRDefault="00291717" w:rsidP="00E31F40">
            <w:pPr>
              <w:contextualSpacing/>
              <w:jc w:val="center"/>
              <w:rPr>
                <w:rFonts w:ascii="Times New Roman" w:hAnsi="Times New Roman" w:cs="Times New Roman"/>
                <w:sz w:val="24"/>
                <w:szCs w:val="24"/>
              </w:rPr>
            </w:pPr>
          </w:p>
          <w:p w14:paraId="7B248AC5"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2</w:t>
            </w:r>
          </w:p>
          <w:p w14:paraId="43ECB209"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3</w:t>
            </w:r>
          </w:p>
          <w:p w14:paraId="6A76D085"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2</w:t>
            </w:r>
          </w:p>
        </w:tc>
      </w:tr>
      <w:tr w:rsidR="00291717" w:rsidRPr="00331744" w14:paraId="124F963D" w14:textId="77777777" w:rsidTr="00E31F40">
        <w:tc>
          <w:tcPr>
            <w:tcW w:w="2751" w:type="dxa"/>
            <w:tcBorders>
              <w:top w:val="nil"/>
              <w:bottom w:val="nil"/>
            </w:tcBorders>
          </w:tcPr>
          <w:p w14:paraId="5414563A" w14:textId="77777777" w:rsidR="00291717" w:rsidRPr="0074477F" w:rsidRDefault="00291717" w:rsidP="00E31F40">
            <w:pPr>
              <w:tabs>
                <w:tab w:val="left" w:pos="427"/>
              </w:tabs>
              <w:contextualSpacing/>
              <w:rPr>
                <w:rFonts w:ascii="Times New Roman" w:hAnsi="Times New Roman" w:cs="Times New Roman"/>
                <w:sz w:val="24"/>
                <w:szCs w:val="24"/>
              </w:rPr>
            </w:pPr>
          </w:p>
        </w:tc>
        <w:tc>
          <w:tcPr>
            <w:tcW w:w="1682" w:type="dxa"/>
            <w:tcBorders>
              <w:top w:val="nil"/>
              <w:bottom w:val="nil"/>
            </w:tcBorders>
          </w:tcPr>
          <w:p w14:paraId="2B3CCB29" w14:textId="77777777" w:rsidR="00291717" w:rsidRPr="0074477F" w:rsidRDefault="00291717" w:rsidP="00E31F40">
            <w:pPr>
              <w:contextualSpacing/>
              <w:jc w:val="center"/>
              <w:rPr>
                <w:rFonts w:ascii="Times New Roman" w:hAnsi="Times New Roman" w:cs="Times New Roman"/>
                <w:sz w:val="24"/>
                <w:szCs w:val="24"/>
              </w:rPr>
            </w:pPr>
          </w:p>
        </w:tc>
        <w:tc>
          <w:tcPr>
            <w:tcW w:w="2826" w:type="dxa"/>
            <w:tcBorders>
              <w:top w:val="nil"/>
              <w:bottom w:val="nil"/>
            </w:tcBorders>
          </w:tcPr>
          <w:p w14:paraId="564AA070" w14:textId="77777777" w:rsidR="00291717" w:rsidRPr="0074477F" w:rsidRDefault="00291717" w:rsidP="00E31F40">
            <w:pPr>
              <w:tabs>
                <w:tab w:val="left" w:pos="427"/>
              </w:tabs>
              <w:ind w:left="432" w:hanging="432"/>
              <w:contextualSpacing/>
              <w:rPr>
                <w:rFonts w:ascii="Times New Roman" w:hAnsi="Times New Roman" w:cs="Times New Roman"/>
                <w:sz w:val="24"/>
                <w:szCs w:val="24"/>
              </w:rPr>
            </w:pPr>
          </w:p>
        </w:tc>
        <w:tc>
          <w:tcPr>
            <w:tcW w:w="1597" w:type="dxa"/>
            <w:gridSpan w:val="2"/>
            <w:tcBorders>
              <w:top w:val="nil"/>
              <w:bottom w:val="nil"/>
            </w:tcBorders>
          </w:tcPr>
          <w:p w14:paraId="07F9B98A" w14:textId="77777777" w:rsidR="00291717" w:rsidRPr="0074477F" w:rsidRDefault="00291717" w:rsidP="00E31F40">
            <w:pPr>
              <w:contextualSpacing/>
              <w:jc w:val="center"/>
              <w:rPr>
                <w:rFonts w:ascii="Times New Roman" w:hAnsi="Times New Roman" w:cs="Times New Roman"/>
                <w:sz w:val="24"/>
                <w:szCs w:val="24"/>
              </w:rPr>
            </w:pPr>
          </w:p>
        </w:tc>
      </w:tr>
      <w:tr w:rsidR="00291717" w:rsidRPr="00331744" w14:paraId="5651BEA0" w14:textId="77777777" w:rsidTr="00E31F40">
        <w:tc>
          <w:tcPr>
            <w:tcW w:w="2751" w:type="dxa"/>
            <w:tcBorders>
              <w:top w:val="nil"/>
            </w:tcBorders>
          </w:tcPr>
          <w:p w14:paraId="124350FE" w14:textId="77777777" w:rsidR="00291717" w:rsidRPr="0074477F" w:rsidRDefault="00291717" w:rsidP="00E31F40">
            <w:pPr>
              <w:tabs>
                <w:tab w:val="left" w:pos="372"/>
              </w:tabs>
              <w:ind w:left="374" w:hanging="374"/>
              <w:contextualSpacing/>
              <w:rPr>
                <w:rFonts w:ascii="Times New Roman" w:hAnsi="Times New Roman" w:cs="Times New Roman"/>
                <w:sz w:val="24"/>
                <w:szCs w:val="24"/>
              </w:rPr>
            </w:pPr>
            <w:r w:rsidRPr="0074477F">
              <w:rPr>
                <w:rFonts w:ascii="Times New Roman" w:hAnsi="Times New Roman" w:cs="Times New Roman"/>
                <w:sz w:val="24"/>
                <w:szCs w:val="24"/>
              </w:rPr>
              <w:t>Sexual Identity</w:t>
            </w:r>
          </w:p>
          <w:p w14:paraId="3B86E7E8"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 xml:space="preserve">Heterosexual </w:t>
            </w:r>
          </w:p>
          <w:p w14:paraId="417B7BA2"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LGBTQ</w:t>
            </w:r>
          </w:p>
          <w:p w14:paraId="3942D337"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Not Addressed</w:t>
            </w:r>
          </w:p>
        </w:tc>
        <w:tc>
          <w:tcPr>
            <w:tcW w:w="1682" w:type="dxa"/>
            <w:tcBorders>
              <w:top w:val="nil"/>
            </w:tcBorders>
          </w:tcPr>
          <w:p w14:paraId="53ADA4E5" w14:textId="77777777" w:rsidR="00291717" w:rsidRPr="0074477F" w:rsidRDefault="00291717" w:rsidP="00E31F40">
            <w:pPr>
              <w:contextualSpacing/>
              <w:jc w:val="center"/>
              <w:rPr>
                <w:rFonts w:ascii="Times New Roman" w:hAnsi="Times New Roman" w:cs="Times New Roman"/>
                <w:sz w:val="24"/>
                <w:szCs w:val="24"/>
              </w:rPr>
            </w:pPr>
          </w:p>
          <w:p w14:paraId="479BBCB5"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5</w:t>
            </w:r>
          </w:p>
          <w:p w14:paraId="3CA34B96"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5F979F8B"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tc>
        <w:tc>
          <w:tcPr>
            <w:tcW w:w="2826" w:type="dxa"/>
            <w:tcBorders>
              <w:top w:val="nil"/>
            </w:tcBorders>
          </w:tcPr>
          <w:p w14:paraId="56D08078" w14:textId="77777777" w:rsidR="00291717" w:rsidRPr="0074477F" w:rsidRDefault="00291717" w:rsidP="00E31F40">
            <w:pPr>
              <w:tabs>
                <w:tab w:val="left" w:pos="427"/>
              </w:tabs>
              <w:ind w:left="432" w:hanging="432"/>
              <w:contextualSpacing/>
              <w:rPr>
                <w:rFonts w:ascii="Times New Roman" w:hAnsi="Times New Roman" w:cs="Times New Roman"/>
                <w:sz w:val="24"/>
                <w:szCs w:val="24"/>
              </w:rPr>
            </w:pPr>
            <w:r w:rsidRPr="0074477F">
              <w:rPr>
                <w:rFonts w:ascii="Times New Roman" w:hAnsi="Times New Roman" w:cs="Times New Roman"/>
                <w:sz w:val="24"/>
                <w:szCs w:val="24"/>
              </w:rPr>
              <w:t>Living Situation</w:t>
            </w:r>
          </w:p>
          <w:p w14:paraId="17DD67CB"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Independent</w:t>
            </w:r>
          </w:p>
          <w:p w14:paraId="23E39550"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Supported Living</w:t>
            </w:r>
          </w:p>
          <w:p w14:paraId="6CE3EB3C" w14:textId="77777777" w:rsidR="00291717" w:rsidRPr="0074477F" w:rsidRDefault="00291717" w:rsidP="00E31F40">
            <w:pPr>
              <w:tabs>
                <w:tab w:val="left" w:pos="427"/>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Group Home</w:t>
            </w:r>
          </w:p>
          <w:p w14:paraId="7EC46071"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Parents</w:t>
            </w:r>
          </w:p>
        </w:tc>
        <w:tc>
          <w:tcPr>
            <w:tcW w:w="1597" w:type="dxa"/>
            <w:gridSpan w:val="2"/>
            <w:tcBorders>
              <w:top w:val="nil"/>
            </w:tcBorders>
          </w:tcPr>
          <w:p w14:paraId="4EB4D4CC" w14:textId="77777777" w:rsidR="00291717" w:rsidRPr="0074477F" w:rsidRDefault="00291717" w:rsidP="00E31F40">
            <w:pPr>
              <w:contextualSpacing/>
              <w:jc w:val="center"/>
              <w:rPr>
                <w:rFonts w:ascii="Times New Roman" w:hAnsi="Times New Roman" w:cs="Times New Roman"/>
                <w:sz w:val="24"/>
                <w:szCs w:val="24"/>
              </w:rPr>
            </w:pPr>
          </w:p>
          <w:p w14:paraId="0A5478CB"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0</w:t>
            </w:r>
          </w:p>
          <w:p w14:paraId="65AABFB0"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6288A8C3"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3</w:t>
            </w:r>
          </w:p>
          <w:p w14:paraId="2FBF3B46"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3</w:t>
            </w:r>
          </w:p>
        </w:tc>
      </w:tr>
      <w:tr w:rsidR="00291717" w:rsidRPr="00331744" w14:paraId="43D2866D" w14:textId="77777777" w:rsidTr="00E31F40">
        <w:tc>
          <w:tcPr>
            <w:tcW w:w="2751" w:type="dxa"/>
            <w:tcBorders>
              <w:top w:val="nil"/>
            </w:tcBorders>
          </w:tcPr>
          <w:p w14:paraId="190AE3EF" w14:textId="77777777" w:rsidR="00291717" w:rsidRPr="0074477F" w:rsidRDefault="00291717" w:rsidP="00E31F40">
            <w:pPr>
              <w:tabs>
                <w:tab w:val="left" w:pos="372"/>
              </w:tabs>
              <w:ind w:left="374" w:hanging="374"/>
              <w:contextualSpacing/>
              <w:rPr>
                <w:rFonts w:ascii="Times New Roman" w:hAnsi="Times New Roman" w:cs="Times New Roman"/>
                <w:sz w:val="24"/>
                <w:szCs w:val="24"/>
              </w:rPr>
            </w:pPr>
          </w:p>
        </w:tc>
        <w:tc>
          <w:tcPr>
            <w:tcW w:w="1682" w:type="dxa"/>
            <w:tcBorders>
              <w:top w:val="nil"/>
            </w:tcBorders>
          </w:tcPr>
          <w:p w14:paraId="51D6F934" w14:textId="77777777" w:rsidR="00291717" w:rsidRPr="0074477F" w:rsidRDefault="00291717" w:rsidP="00E31F40">
            <w:pPr>
              <w:contextualSpacing/>
              <w:jc w:val="center"/>
              <w:rPr>
                <w:rFonts w:ascii="Times New Roman" w:hAnsi="Times New Roman" w:cs="Times New Roman"/>
                <w:sz w:val="24"/>
                <w:szCs w:val="24"/>
              </w:rPr>
            </w:pPr>
          </w:p>
        </w:tc>
        <w:tc>
          <w:tcPr>
            <w:tcW w:w="2826" w:type="dxa"/>
            <w:tcBorders>
              <w:top w:val="nil"/>
            </w:tcBorders>
          </w:tcPr>
          <w:p w14:paraId="3F230E44" w14:textId="77777777" w:rsidR="00291717" w:rsidRPr="0074477F" w:rsidRDefault="00291717" w:rsidP="00E31F40">
            <w:pPr>
              <w:tabs>
                <w:tab w:val="left" w:pos="427"/>
              </w:tabs>
              <w:ind w:left="432" w:hanging="432"/>
              <w:contextualSpacing/>
              <w:rPr>
                <w:rFonts w:ascii="Times New Roman" w:hAnsi="Times New Roman" w:cs="Times New Roman"/>
                <w:sz w:val="24"/>
                <w:szCs w:val="24"/>
              </w:rPr>
            </w:pPr>
          </w:p>
        </w:tc>
        <w:tc>
          <w:tcPr>
            <w:tcW w:w="1597" w:type="dxa"/>
            <w:gridSpan w:val="2"/>
            <w:tcBorders>
              <w:top w:val="nil"/>
            </w:tcBorders>
          </w:tcPr>
          <w:p w14:paraId="3EE72065" w14:textId="77777777" w:rsidR="00291717" w:rsidRPr="0074477F" w:rsidRDefault="00291717" w:rsidP="00E31F40">
            <w:pPr>
              <w:contextualSpacing/>
              <w:jc w:val="center"/>
              <w:rPr>
                <w:rFonts w:ascii="Times New Roman" w:hAnsi="Times New Roman" w:cs="Times New Roman"/>
                <w:sz w:val="24"/>
                <w:szCs w:val="24"/>
              </w:rPr>
            </w:pPr>
          </w:p>
        </w:tc>
      </w:tr>
      <w:tr w:rsidR="00291717" w:rsidRPr="00331744" w14:paraId="50580A85" w14:textId="77777777" w:rsidTr="00E31F40">
        <w:tc>
          <w:tcPr>
            <w:tcW w:w="2751" w:type="dxa"/>
          </w:tcPr>
          <w:p w14:paraId="7E7BE53A" w14:textId="77777777" w:rsidR="00291717" w:rsidRPr="0074477F" w:rsidRDefault="00291717" w:rsidP="00E31F40">
            <w:pPr>
              <w:tabs>
                <w:tab w:val="left" w:pos="372"/>
              </w:tabs>
              <w:ind w:left="374" w:hanging="374"/>
              <w:contextualSpacing/>
              <w:rPr>
                <w:rFonts w:ascii="Times New Roman" w:hAnsi="Times New Roman" w:cs="Times New Roman"/>
                <w:sz w:val="24"/>
                <w:szCs w:val="24"/>
              </w:rPr>
            </w:pPr>
            <w:r w:rsidRPr="0074477F">
              <w:rPr>
                <w:rFonts w:ascii="Times New Roman" w:hAnsi="Times New Roman" w:cs="Times New Roman"/>
                <w:sz w:val="24"/>
                <w:szCs w:val="24"/>
              </w:rPr>
              <w:t xml:space="preserve">Diagnoses </w:t>
            </w:r>
          </w:p>
          <w:p w14:paraId="7215D5E8"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IDD</w:t>
            </w:r>
          </w:p>
          <w:p w14:paraId="4ABC1E71"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ASD</w:t>
            </w:r>
          </w:p>
          <w:p w14:paraId="2DE8A3F4"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Seizures</w:t>
            </w:r>
          </w:p>
          <w:p w14:paraId="50E68561"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Cerebral Palsy</w:t>
            </w:r>
          </w:p>
          <w:p w14:paraId="3697CDDB"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ADHD</w:t>
            </w:r>
          </w:p>
          <w:p w14:paraId="78C10872"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Bipolar Schizophrenia</w:t>
            </w:r>
          </w:p>
          <w:p w14:paraId="206DFEF8"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Down Syndrome</w:t>
            </w:r>
          </w:p>
          <w:p w14:paraId="36DB25D1"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Hearing Impaired</w:t>
            </w:r>
          </w:p>
          <w:p w14:paraId="1046A5D6" w14:textId="77777777" w:rsidR="00291717" w:rsidRPr="0074477F" w:rsidRDefault="00291717" w:rsidP="00E31F40">
            <w:pPr>
              <w:tabs>
                <w:tab w:val="left" w:pos="372"/>
              </w:tabs>
              <w:ind w:left="374"/>
              <w:contextualSpacing/>
              <w:rPr>
                <w:rFonts w:ascii="Times New Roman" w:hAnsi="Times New Roman" w:cs="Times New Roman"/>
                <w:sz w:val="24"/>
                <w:szCs w:val="24"/>
              </w:rPr>
            </w:pPr>
            <w:r w:rsidRPr="0074477F">
              <w:rPr>
                <w:rFonts w:ascii="Times New Roman" w:hAnsi="Times New Roman" w:cs="Times New Roman"/>
                <w:sz w:val="24"/>
                <w:szCs w:val="24"/>
              </w:rPr>
              <w:t>Visually Impaired</w:t>
            </w:r>
          </w:p>
        </w:tc>
        <w:tc>
          <w:tcPr>
            <w:tcW w:w="1682" w:type="dxa"/>
          </w:tcPr>
          <w:p w14:paraId="0154AD3B" w14:textId="77777777" w:rsidR="00291717" w:rsidRPr="0074477F" w:rsidRDefault="00291717" w:rsidP="00E31F40">
            <w:pPr>
              <w:contextualSpacing/>
              <w:jc w:val="center"/>
              <w:rPr>
                <w:rFonts w:ascii="Times New Roman" w:hAnsi="Times New Roman" w:cs="Times New Roman"/>
                <w:sz w:val="24"/>
                <w:szCs w:val="24"/>
              </w:rPr>
            </w:pPr>
          </w:p>
          <w:p w14:paraId="28866389"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7</w:t>
            </w:r>
          </w:p>
          <w:p w14:paraId="46A553F7"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2</w:t>
            </w:r>
          </w:p>
          <w:p w14:paraId="4F92FDDD"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3</w:t>
            </w:r>
          </w:p>
          <w:p w14:paraId="5521E252"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0FF4583B"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2BE98D40"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39DCA478"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609E6FBA"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39310E22"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tc>
        <w:tc>
          <w:tcPr>
            <w:tcW w:w="2826" w:type="dxa"/>
          </w:tcPr>
          <w:p w14:paraId="29F806D8" w14:textId="77777777" w:rsidR="00291717" w:rsidRPr="0074477F" w:rsidRDefault="00291717" w:rsidP="00E31F40">
            <w:pPr>
              <w:tabs>
                <w:tab w:val="left" w:pos="372"/>
              </w:tabs>
              <w:ind w:left="374" w:hanging="374"/>
              <w:contextualSpacing/>
              <w:rPr>
                <w:rFonts w:ascii="Times New Roman" w:hAnsi="Times New Roman" w:cs="Times New Roman"/>
                <w:sz w:val="24"/>
                <w:szCs w:val="24"/>
              </w:rPr>
            </w:pPr>
            <w:r w:rsidRPr="0074477F">
              <w:rPr>
                <w:rFonts w:ascii="Times New Roman" w:hAnsi="Times New Roman" w:cs="Times New Roman"/>
                <w:sz w:val="24"/>
                <w:szCs w:val="24"/>
              </w:rPr>
              <w:t>Employment</w:t>
            </w:r>
          </w:p>
          <w:p w14:paraId="2B2B53CD"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Full-Time</w:t>
            </w:r>
          </w:p>
          <w:p w14:paraId="383AB651"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Part-Time</w:t>
            </w:r>
          </w:p>
          <w:p w14:paraId="3F7108E8"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Currently Unemployed</w:t>
            </w:r>
          </w:p>
          <w:p w14:paraId="6E6F910F"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Never Employed</w:t>
            </w:r>
          </w:p>
          <w:p w14:paraId="491CD20D" w14:textId="77777777" w:rsidR="00291717" w:rsidRPr="0074477F" w:rsidRDefault="00291717" w:rsidP="00E31F40">
            <w:pPr>
              <w:tabs>
                <w:tab w:val="left" w:pos="372"/>
              </w:tabs>
              <w:ind w:firstLine="288"/>
              <w:contextualSpacing/>
              <w:rPr>
                <w:rFonts w:ascii="Times New Roman" w:hAnsi="Times New Roman" w:cs="Times New Roman"/>
                <w:sz w:val="24"/>
                <w:szCs w:val="24"/>
              </w:rPr>
            </w:pPr>
          </w:p>
          <w:p w14:paraId="71B3223F" w14:textId="77777777" w:rsidR="00291717" w:rsidRPr="0074477F" w:rsidRDefault="00291717" w:rsidP="00E31F40">
            <w:pPr>
              <w:tabs>
                <w:tab w:val="left" w:pos="372"/>
              </w:tabs>
              <w:contextualSpacing/>
              <w:rPr>
                <w:rFonts w:ascii="Times New Roman" w:hAnsi="Times New Roman" w:cs="Times New Roman"/>
                <w:sz w:val="24"/>
                <w:szCs w:val="24"/>
              </w:rPr>
            </w:pPr>
            <w:r w:rsidRPr="0074477F">
              <w:rPr>
                <w:rFonts w:ascii="Times New Roman" w:hAnsi="Times New Roman" w:cs="Times New Roman"/>
                <w:sz w:val="24"/>
                <w:szCs w:val="24"/>
              </w:rPr>
              <w:t>Race/Ethnicity</w:t>
            </w:r>
          </w:p>
          <w:p w14:paraId="0035CFD0" w14:textId="77777777"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White</w:t>
            </w:r>
          </w:p>
          <w:p w14:paraId="2B721AE2" w14:textId="77777777" w:rsidR="00291717" w:rsidRPr="0074477F" w:rsidRDefault="00291717" w:rsidP="00E31F40">
            <w:pPr>
              <w:tabs>
                <w:tab w:val="left" w:pos="372"/>
              </w:tabs>
              <w:ind w:firstLine="288"/>
              <w:contextualSpacing/>
              <w:rPr>
                <w:rFonts w:ascii="Times New Roman" w:hAnsi="Times New Roman" w:cs="Times New Roman"/>
                <w:sz w:val="24"/>
                <w:szCs w:val="24"/>
              </w:rPr>
            </w:pPr>
            <w:proofErr w:type="spellStart"/>
            <w:r w:rsidRPr="0074477F">
              <w:rPr>
                <w:rFonts w:ascii="Times New Roman" w:hAnsi="Times New Roman" w:cs="Times New Roman"/>
                <w:sz w:val="24"/>
                <w:szCs w:val="24"/>
              </w:rPr>
              <w:t>Multinationality</w:t>
            </w:r>
            <w:proofErr w:type="spellEnd"/>
            <w:r w:rsidRPr="0074477F">
              <w:rPr>
                <w:rFonts w:ascii="Times New Roman" w:hAnsi="Times New Roman" w:cs="Times New Roman"/>
                <w:sz w:val="24"/>
                <w:szCs w:val="24"/>
              </w:rPr>
              <w:t xml:space="preserve"> </w:t>
            </w:r>
          </w:p>
          <w:p w14:paraId="537E0C0B" w14:textId="397A612B" w:rsidR="00291717" w:rsidRPr="0074477F" w:rsidRDefault="00291717" w:rsidP="00E31F40">
            <w:pPr>
              <w:tabs>
                <w:tab w:val="left" w:pos="372"/>
              </w:tabs>
              <w:ind w:firstLine="288"/>
              <w:contextualSpacing/>
              <w:rPr>
                <w:rFonts w:ascii="Times New Roman" w:hAnsi="Times New Roman" w:cs="Times New Roman"/>
                <w:sz w:val="24"/>
                <w:szCs w:val="24"/>
              </w:rPr>
            </w:pPr>
            <w:r w:rsidRPr="0074477F">
              <w:rPr>
                <w:rFonts w:ascii="Times New Roman" w:hAnsi="Times New Roman" w:cs="Times New Roman"/>
                <w:sz w:val="24"/>
                <w:szCs w:val="24"/>
              </w:rPr>
              <w:t>(non-</w:t>
            </w:r>
            <w:r w:rsidR="000507CC" w:rsidRPr="0074477F">
              <w:rPr>
                <w:rFonts w:ascii="Times New Roman" w:hAnsi="Times New Roman" w:cs="Times New Roman"/>
                <w:sz w:val="24"/>
                <w:szCs w:val="24"/>
              </w:rPr>
              <w:t>W</w:t>
            </w:r>
            <w:r w:rsidRPr="0074477F">
              <w:rPr>
                <w:rFonts w:ascii="Times New Roman" w:hAnsi="Times New Roman" w:cs="Times New Roman"/>
                <w:sz w:val="24"/>
                <w:szCs w:val="24"/>
              </w:rPr>
              <w:t xml:space="preserve">hite) </w:t>
            </w:r>
          </w:p>
        </w:tc>
        <w:tc>
          <w:tcPr>
            <w:tcW w:w="1597" w:type="dxa"/>
            <w:gridSpan w:val="2"/>
          </w:tcPr>
          <w:p w14:paraId="25A0F636" w14:textId="77777777" w:rsidR="00291717" w:rsidRPr="0074477F" w:rsidRDefault="00291717" w:rsidP="00E31F40">
            <w:pPr>
              <w:contextualSpacing/>
              <w:jc w:val="center"/>
              <w:rPr>
                <w:rFonts w:ascii="Times New Roman" w:hAnsi="Times New Roman" w:cs="Times New Roman"/>
                <w:sz w:val="24"/>
                <w:szCs w:val="24"/>
              </w:rPr>
            </w:pPr>
          </w:p>
          <w:p w14:paraId="2B1244E5"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0</w:t>
            </w:r>
          </w:p>
          <w:p w14:paraId="76E9BF68"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2</w:t>
            </w:r>
          </w:p>
          <w:p w14:paraId="0060FE28"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4</w:t>
            </w:r>
          </w:p>
          <w:p w14:paraId="2403044C"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p w14:paraId="22C8A131" w14:textId="77777777" w:rsidR="00291717" w:rsidRPr="0074477F" w:rsidRDefault="00291717" w:rsidP="00E31F40">
            <w:pPr>
              <w:contextualSpacing/>
              <w:jc w:val="center"/>
              <w:rPr>
                <w:rFonts w:ascii="Times New Roman" w:hAnsi="Times New Roman" w:cs="Times New Roman"/>
                <w:sz w:val="24"/>
                <w:szCs w:val="24"/>
              </w:rPr>
            </w:pPr>
          </w:p>
          <w:p w14:paraId="05DCA4E7" w14:textId="77777777" w:rsidR="00291717" w:rsidRPr="0074477F" w:rsidRDefault="00291717" w:rsidP="00E31F40">
            <w:pPr>
              <w:contextualSpacing/>
              <w:jc w:val="center"/>
              <w:rPr>
                <w:rFonts w:ascii="Times New Roman" w:hAnsi="Times New Roman" w:cs="Times New Roman"/>
                <w:sz w:val="24"/>
                <w:szCs w:val="24"/>
              </w:rPr>
            </w:pPr>
          </w:p>
          <w:p w14:paraId="7CAEEC0F"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6</w:t>
            </w:r>
          </w:p>
          <w:p w14:paraId="5DA2F9DA" w14:textId="77777777" w:rsidR="00291717" w:rsidRPr="0074477F" w:rsidRDefault="00291717" w:rsidP="00E31F40">
            <w:pPr>
              <w:contextualSpacing/>
              <w:jc w:val="center"/>
              <w:rPr>
                <w:rFonts w:ascii="Times New Roman" w:hAnsi="Times New Roman" w:cs="Times New Roman"/>
                <w:sz w:val="24"/>
                <w:szCs w:val="24"/>
              </w:rPr>
            </w:pPr>
            <w:r w:rsidRPr="0074477F">
              <w:rPr>
                <w:rFonts w:ascii="Times New Roman" w:hAnsi="Times New Roman" w:cs="Times New Roman"/>
                <w:sz w:val="24"/>
                <w:szCs w:val="24"/>
              </w:rPr>
              <w:t>1</w:t>
            </w:r>
          </w:p>
        </w:tc>
      </w:tr>
    </w:tbl>
    <w:p w14:paraId="5C98607D" w14:textId="77777777" w:rsidR="00291717" w:rsidRDefault="00291717" w:rsidP="00291717">
      <w:pPr>
        <w:pStyle w:val="APALevel2"/>
      </w:pPr>
      <w:bookmarkStart w:id="17" w:name="_Toc106879652"/>
      <w:bookmarkEnd w:id="16"/>
    </w:p>
    <w:p w14:paraId="5CBA82E2" w14:textId="77777777" w:rsidR="00291717" w:rsidRDefault="00291717" w:rsidP="00291717">
      <w:pPr>
        <w:pStyle w:val="APALevel2"/>
      </w:pPr>
      <w:r>
        <w:t>Narrative Themes</w:t>
      </w:r>
    </w:p>
    <w:p w14:paraId="7A3C1262" w14:textId="77777777" w:rsidR="00291717" w:rsidRPr="00331744" w:rsidRDefault="00291717" w:rsidP="00291717">
      <w:pPr>
        <w:pStyle w:val="APALevel3"/>
      </w:pPr>
      <w:r w:rsidRPr="00331744">
        <w:t>Happiness is a Friend: Social Support, Not Community Integration, Drives</w:t>
      </w:r>
      <w:r>
        <w:t xml:space="preserve"> Quality of Life</w:t>
      </w:r>
      <w:r w:rsidRPr="00331744">
        <w:t xml:space="preserve"> </w:t>
      </w:r>
      <w:r>
        <w:t>(</w:t>
      </w:r>
      <w:r w:rsidRPr="00331744">
        <w:t>QOL</w:t>
      </w:r>
      <w:bookmarkEnd w:id="17"/>
      <w:r>
        <w:t>)</w:t>
      </w:r>
    </w:p>
    <w:p w14:paraId="6D9A2439" w14:textId="77777777" w:rsidR="00291717" w:rsidRDefault="00291717" w:rsidP="000507CC">
      <w:pPr>
        <w:spacing w:after="0" w:line="480" w:lineRule="auto"/>
        <w:contextualSpacing/>
      </w:pPr>
      <w:r>
        <w:t xml:space="preserve">Transition and CDS literature cite community integration indicators such as work, civic engagement, and leisure engagement as primary contributors to </w:t>
      </w:r>
      <w:r w:rsidRPr="00331744">
        <w:t>QOL</w:t>
      </w:r>
      <w:r>
        <w:t xml:space="preserve">, but </w:t>
      </w:r>
      <w:r w:rsidRPr="00331744">
        <w:t xml:space="preserve">community integration </w:t>
      </w:r>
      <w:r>
        <w:t>was not</w:t>
      </w:r>
      <w:r w:rsidRPr="00331744">
        <w:t xml:space="preserve"> a </w:t>
      </w:r>
      <w:r>
        <w:t>dominant</w:t>
      </w:r>
      <w:r w:rsidRPr="00331744">
        <w:t xml:space="preserve"> </w:t>
      </w:r>
      <w:r>
        <w:t xml:space="preserve">driver of </w:t>
      </w:r>
      <w:r w:rsidRPr="00331744">
        <w:t>QOL</w:t>
      </w:r>
      <w:r>
        <w:t xml:space="preserve"> in these narratives</w:t>
      </w:r>
      <w:r w:rsidRPr="00331744">
        <w:t xml:space="preserve">. Instead, </w:t>
      </w:r>
      <w:r>
        <w:t>QOL was primarily expressed through human connection within and outside the home and in turn influenced how community integration was perceived</w:t>
      </w:r>
      <w:r w:rsidRPr="00331744">
        <w:t xml:space="preserve">. </w:t>
      </w:r>
      <w:r>
        <w:t xml:space="preserve">Those who felt more confident in their personal connection felt more connected to their community despite quantifiable engagement levels. For example, most </w:t>
      </w:r>
      <w:r w:rsidRPr="00331744">
        <w:t xml:space="preserve">narratives </w:t>
      </w:r>
      <w:r>
        <w:t>established initial context through</w:t>
      </w:r>
      <w:r w:rsidRPr="00331744">
        <w:t xml:space="preserve"> recollections of </w:t>
      </w:r>
      <w:r w:rsidRPr="00331744">
        <w:lastRenderedPageBreak/>
        <w:t>childhood</w:t>
      </w:r>
      <w:r>
        <w:t xml:space="preserve"> friendships</w:t>
      </w:r>
      <w:r w:rsidRPr="00331744">
        <w:t>. Daredevil</w:t>
      </w:r>
      <w:r>
        <w:t xml:space="preserve"> </w:t>
      </w:r>
      <w:r w:rsidRPr="00331744">
        <w:t xml:space="preserve">began: “When I was little, I played with Disney toys with my brother and sister </w:t>
      </w:r>
      <w:r>
        <w:t>[and]</w:t>
      </w:r>
      <w:r w:rsidRPr="00331744">
        <w:t xml:space="preserve"> went to daycare and passed ball with my friends…. I was a happy child</w:t>
      </w:r>
      <w:r>
        <w:t>.</w:t>
      </w:r>
      <w:r w:rsidRPr="00331744">
        <w:t xml:space="preserve">” Pudding reminisced, “When I was young </w:t>
      </w:r>
      <w:r>
        <w:t>….</w:t>
      </w:r>
      <w:r w:rsidRPr="00331744">
        <w:t xml:space="preserve"> I had friends at school and a close best friend who was like Pudding </w:t>
      </w:r>
      <w:r>
        <w:t>#2.</w:t>
      </w:r>
      <w:r w:rsidRPr="00331744">
        <w:t>”</w:t>
      </w:r>
      <w:r>
        <w:t xml:space="preserve"> </w:t>
      </w:r>
      <w:r w:rsidRPr="00331744">
        <w:t xml:space="preserve">Batgirl </w:t>
      </w:r>
      <w:r>
        <w:t>stated,</w:t>
      </w:r>
      <w:r w:rsidRPr="00331744">
        <w:t xml:space="preserve"> “I had a best friend, and we would play outside after class</w:t>
      </w:r>
      <w:r>
        <w:t>,</w:t>
      </w:r>
      <w:r w:rsidRPr="00331744">
        <w:t>”</w:t>
      </w:r>
      <w:r>
        <w:t xml:space="preserve"> while Diana was friends with all her classmates. Despite severe early impact</w:t>
      </w:r>
      <w:r w:rsidRPr="00331744">
        <w:t xml:space="preserve"> of his disability, </w:t>
      </w:r>
      <w:r>
        <w:t>Bus Rider</w:t>
      </w:r>
      <w:r w:rsidRPr="00331744">
        <w:t xml:space="preserve"> </w:t>
      </w:r>
      <w:r>
        <w:t>was</w:t>
      </w:r>
      <w:r w:rsidRPr="00331744">
        <w:t xml:space="preserve"> </w:t>
      </w:r>
      <w:r>
        <w:t xml:space="preserve">also </w:t>
      </w:r>
      <w:r w:rsidRPr="00331744">
        <w:t>a social child with many friends</w:t>
      </w:r>
      <w:r>
        <w:t>, and while S</w:t>
      </w:r>
      <w:r w:rsidRPr="00331744">
        <w:t xml:space="preserve">ports Guy was </w:t>
      </w:r>
      <w:r>
        <w:t>bullied</w:t>
      </w:r>
      <w:r w:rsidRPr="00331744">
        <w:t xml:space="preserve"> in early childhood</w:t>
      </w:r>
      <w:r>
        <w:t>, he enjoyed playing sports with other children. By contrast, The Dark Knight was the only collaborator to lack friends, lamenting</w:t>
      </w:r>
      <w:r w:rsidRPr="00331744">
        <w:t xml:space="preserve">: “Nobody liked me. I wanted to make friends, but I was just a loner.” </w:t>
      </w:r>
      <w:r>
        <w:t xml:space="preserve">Yet, like the others, he achieved childhood stability through </w:t>
      </w:r>
      <w:r w:rsidRPr="00331744">
        <w:t>family connection</w:t>
      </w:r>
      <w:r>
        <w:t>s</w:t>
      </w:r>
      <w:r w:rsidRPr="00331744">
        <w:t xml:space="preserve">. </w:t>
      </w:r>
    </w:p>
    <w:p w14:paraId="4D6C8AD4" w14:textId="2A0FD8C3" w:rsidR="00291717" w:rsidRDefault="00291717" w:rsidP="000507CC">
      <w:pPr>
        <w:pStyle w:val="BodyParagraph"/>
      </w:pPr>
      <w:bookmarkStart w:id="18" w:name="_Toc106879706"/>
      <w:r w:rsidRPr="00331744">
        <w:t xml:space="preserve">Batgirl </w:t>
      </w:r>
      <w:r>
        <w:t>stated</w:t>
      </w:r>
      <w:r w:rsidRPr="00331744">
        <w:t>, “What makes me unique is that I am a very</w:t>
      </w:r>
      <w:r>
        <w:t xml:space="preserve"> </w:t>
      </w:r>
      <w:r w:rsidRPr="00331744">
        <w:t xml:space="preserve">happy person and that I spend big time with </w:t>
      </w:r>
      <w:r>
        <w:t xml:space="preserve">my </w:t>
      </w:r>
      <w:r w:rsidRPr="00331744">
        <w:t xml:space="preserve">family,” while Daredevil </w:t>
      </w:r>
      <w:r>
        <w:t>declared:</w:t>
      </w:r>
      <w:r w:rsidRPr="001E4F5D">
        <w:t xml:space="preserve"> </w:t>
      </w:r>
      <w:r w:rsidRPr="00331744">
        <w:t>“What makes me special</w:t>
      </w:r>
      <w:r>
        <w:t xml:space="preserve"> is</w:t>
      </w:r>
      <w:bookmarkEnd w:id="18"/>
      <w:r>
        <w:t xml:space="preserve"> </w:t>
      </w:r>
      <w:r w:rsidRPr="00331744">
        <w:t xml:space="preserve">how much I love my family.” </w:t>
      </w:r>
      <w:r>
        <w:t>T</w:t>
      </w:r>
      <w:r w:rsidRPr="00331744">
        <w:t>he Dark Knight</w:t>
      </w:r>
      <w:r>
        <w:t xml:space="preserve"> focused on family memories over peer isolation, while </w:t>
      </w:r>
      <w:r w:rsidRPr="00331744">
        <w:t xml:space="preserve">close sibling relationships were a key </w:t>
      </w:r>
      <w:r>
        <w:t>to</w:t>
      </w:r>
      <w:r w:rsidRPr="00331744">
        <w:t xml:space="preserve"> Diana</w:t>
      </w:r>
      <w:r w:rsidR="00DA62EC">
        <w:t>’s</w:t>
      </w:r>
      <w:r w:rsidRPr="00331744">
        <w:t>, Batgirl</w:t>
      </w:r>
      <w:r w:rsidR="00DA62EC">
        <w:t>’s</w:t>
      </w:r>
      <w:r w:rsidRPr="00331744">
        <w:t>, and Daredevil</w:t>
      </w:r>
      <w:r>
        <w:t xml:space="preserve">’s </w:t>
      </w:r>
      <w:r w:rsidRPr="00331744">
        <w:t>identit</w:t>
      </w:r>
      <w:r>
        <w:t>ies. Both Diana and Batgirl included more pictures of their siblings than anything else, and though</w:t>
      </w:r>
      <w:r w:rsidRPr="00331744">
        <w:t xml:space="preserve"> Pudding </w:t>
      </w:r>
      <w:r>
        <w:t>was</w:t>
      </w:r>
      <w:r w:rsidRPr="00331744">
        <w:t xml:space="preserve"> bullied by his </w:t>
      </w:r>
      <w:r>
        <w:t xml:space="preserve">older </w:t>
      </w:r>
      <w:r w:rsidRPr="00331744">
        <w:t>brother</w:t>
      </w:r>
      <w:r>
        <w:t>,</w:t>
      </w:r>
      <w:r w:rsidRPr="00331744">
        <w:t xml:space="preserve"> </w:t>
      </w:r>
      <w:r>
        <w:t>they now talk regularly. Reflecting upon a different sibling dynamic,</w:t>
      </w:r>
      <w:r w:rsidRPr="00331744">
        <w:t xml:space="preserve"> Sports Guy </w:t>
      </w:r>
      <w:r>
        <w:t xml:space="preserve">accepted banishment from his house when his stepfather explained he was setting a bad example for his younger brother and sister. </w:t>
      </w:r>
      <w:r w:rsidRPr="00331744">
        <w:t xml:space="preserve">The </w:t>
      </w:r>
      <w:r>
        <w:t xml:space="preserve">friendless </w:t>
      </w:r>
      <w:r w:rsidRPr="00331744">
        <w:t>Dark Knight was</w:t>
      </w:r>
      <w:r>
        <w:t xml:space="preserve"> also </w:t>
      </w:r>
      <w:r w:rsidRPr="00331744">
        <w:t>the only collaborator without a sibling</w:t>
      </w:r>
      <w:r>
        <w:t xml:space="preserve">, although extended family was critical for him as well as others. </w:t>
      </w:r>
    </w:p>
    <w:p w14:paraId="5816C50D" w14:textId="75478304" w:rsidR="00291717" w:rsidRDefault="00291717" w:rsidP="00291717">
      <w:pPr>
        <w:pStyle w:val="BodyParagraph"/>
      </w:pPr>
      <w:r>
        <w:t xml:space="preserve">Despite being forced into group homes, </w:t>
      </w:r>
      <w:r w:rsidRPr="00331744">
        <w:t>Sports Guy</w:t>
      </w:r>
      <w:r>
        <w:t xml:space="preserve"> concluded:</w:t>
      </w:r>
      <w:r w:rsidRPr="00331744">
        <w:t xml:space="preserve"> “I am happy knowing that so many people actually care about me—my mom, my stepdad, family, but also everybody here.” </w:t>
      </w:r>
      <w:r>
        <w:t>A</w:t>
      </w:r>
      <w:r w:rsidRPr="00331744">
        <w:t xml:space="preserve"> stepparent was also critical to Bus Rider: “When I was five, I met my dad</w:t>
      </w:r>
      <w:r>
        <w:t xml:space="preserve"> [who] </w:t>
      </w:r>
      <w:r w:rsidRPr="00331744">
        <w:t>taught me to do things like ride a bike and put on my socks.” Grandparen</w:t>
      </w:r>
      <w:r>
        <w:t xml:space="preserve">ts were also </w:t>
      </w:r>
      <w:r>
        <w:lastRenderedPageBreak/>
        <w:t>prominent</w:t>
      </w:r>
      <w:r w:rsidRPr="00331744">
        <w:t>.</w:t>
      </w:r>
      <w:r w:rsidRPr="0045509A">
        <w:t xml:space="preserve"> </w:t>
      </w:r>
      <w:r w:rsidRPr="00331744">
        <w:t>Bus Rider</w:t>
      </w:r>
      <w:r>
        <w:t>’s grandfather inspired his love of heavy machines by teaching him to operate farm equipment</w:t>
      </w:r>
      <w:r w:rsidRPr="00331744">
        <w:t xml:space="preserve"> </w:t>
      </w:r>
      <w:r>
        <w:t>(Figure 2), while Sports Guy’s</w:t>
      </w:r>
      <w:r w:rsidRPr="00331744">
        <w:t xml:space="preserve"> grandfather </w:t>
      </w:r>
      <w:r>
        <w:t xml:space="preserve">brought him into his tile business during his turbulent teens. </w:t>
      </w:r>
      <w:r w:rsidRPr="00331744">
        <w:t xml:space="preserve">Batgirl, Diana, and Pudding also </w:t>
      </w:r>
      <w:r>
        <w:t>had</w:t>
      </w:r>
      <w:r w:rsidRPr="00331744">
        <w:t xml:space="preserve"> close relationships with grandparents</w:t>
      </w:r>
      <w:r>
        <w:t>, while a</w:t>
      </w:r>
      <w:r w:rsidRPr="00331744">
        <w:t xml:space="preserve">unts, uncles, and cousins </w:t>
      </w:r>
      <w:r>
        <w:t>were sources of</w:t>
      </w:r>
      <w:r w:rsidRPr="00331744">
        <w:t xml:space="preserve"> leisure and travel </w:t>
      </w:r>
      <w:r>
        <w:t>for</w:t>
      </w:r>
      <w:r w:rsidRPr="00331744">
        <w:t xml:space="preserve"> Batgirl, The Dark Knight, and Sports Guy. </w:t>
      </w:r>
      <w:r>
        <w:t xml:space="preserve">So, while the research script was designed to focus on community integration, </w:t>
      </w:r>
      <w:r w:rsidR="00272BCE">
        <w:t>collaborators</w:t>
      </w:r>
      <w:r>
        <w:t xml:space="preserve"> consistently steered their narratives toward</w:t>
      </w:r>
      <w:r w:rsidR="00272BCE">
        <w:t xml:space="preserve"> </w:t>
      </w:r>
      <w:r>
        <w:t>personal connection.</w:t>
      </w:r>
    </w:p>
    <w:p w14:paraId="7C925BFC" w14:textId="77777777" w:rsidR="00291717" w:rsidRPr="00856A97" w:rsidRDefault="00291717" w:rsidP="00291717">
      <w:pPr>
        <w:pStyle w:val="Caption"/>
        <w:rPr>
          <w:b/>
          <w:bCs/>
          <w:color w:val="000000" w:themeColor="text1"/>
        </w:rPr>
      </w:pPr>
      <w:bookmarkStart w:id="19" w:name="_Toc106879708"/>
      <w:r w:rsidRPr="00856A97">
        <w:rPr>
          <w:rFonts w:ascii="Times New Roman" w:hAnsi="Times New Roman" w:cs="Times New Roman"/>
          <w:b/>
          <w:i w:val="0"/>
          <w:iCs w:val="0"/>
          <w:color w:val="000000" w:themeColor="text1"/>
          <w:sz w:val="24"/>
          <w:szCs w:val="24"/>
        </w:rPr>
        <w:t>Figure 2</w:t>
      </w:r>
      <w:r w:rsidRPr="00856A97">
        <w:rPr>
          <w:b/>
          <w:color w:val="000000" w:themeColor="text1"/>
        </w:rPr>
        <w:br/>
      </w:r>
      <w:r w:rsidRPr="00856A97">
        <w:rPr>
          <w:b/>
          <w:color w:val="000000" w:themeColor="text1"/>
        </w:rPr>
        <w:br/>
      </w:r>
      <w:r w:rsidRPr="00856A97">
        <w:rPr>
          <w:rFonts w:ascii="Times New Roman" w:hAnsi="Times New Roman" w:cs="Times New Roman"/>
          <w:color w:val="000000" w:themeColor="text1"/>
          <w:sz w:val="24"/>
          <w:szCs w:val="24"/>
        </w:rPr>
        <w:t>Bus Rider’s Family Connections</w:t>
      </w:r>
      <w:bookmarkEnd w:id="19"/>
    </w:p>
    <w:p w14:paraId="15DFD1B4" w14:textId="77777777" w:rsidR="00291717" w:rsidRDefault="00291717" w:rsidP="00291717">
      <w:pPr>
        <w:spacing w:line="480" w:lineRule="auto"/>
        <w:contextualSpacing/>
      </w:pPr>
      <w:r>
        <w:rPr>
          <w:noProof/>
        </w:rPr>
        <mc:AlternateContent>
          <mc:Choice Requires="wps">
            <w:drawing>
              <wp:anchor distT="0" distB="0" distL="114300" distR="114300" simplePos="0" relativeHeight="251660288" behindDoc="0" locked="0" layoutInCell="1" allowOverlap="1" wp14:anchorId="20F21E31" wp14:editId="037D0357">
                <wp:simplePos x="0" y="0"/>
                <wp:positionH relativeFrom="column">
                  <wp:posOffset>2134925</wp:posOffset>
                </wp:positionH>
                <wp:positionV relativeFrom="paragraph">
                  <wp:posOffset>11595</wp:posOffset>
                </wp:positionV>
                <wp:extent cx="0" cy="3212133"/>
                <wp:effectExtent l="0" t="0" r="38100" b="26670"/>
                <wp:wrapNone/>
                <wp:docPr id="17" name="Straight Connector 17"/>
                <wp:cNvGraphicFramePr/>
                <a:graphic xmlns:a="http://schemas.openxmlformats.org/drawingml/2006/main">
                  <a:graphicData uri="http://schemas.microsoft.com/office/word/2010/wordprocessingShape">
                    <wps:wsp>
                      <wps:cNvCnPr/>
                      <wps:spPr>
                        <a:xfrm>
                          <a:off x="0" y="0"/>
                          <a:ext cx="0" cy="3212133"/>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w:pict>
              <v:line w14:anchorId="5050C966"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1pt,.9pt" to="168.1pt,25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" strokecolor="black [3213]"/>
            </w:pict>
          </mc:Fallback>
        </mc:AlternateContent>
      </w:r>
      <w:r w:rsidRPr="00331744">
        <w:rPr>
          <w:noProof/>
        </w:rPr>
        <w:drawing>
          <wp:inline distT="0" distB="0" distL="0" distR="0" wp14:anchorId="6DF5C34B" wp14:editId="4D7B12F9">
            <wp:extent cx="4663396" cy="3201229"/>
            <wp:effectExtent l="19050" t="19050" r="23495" b="18415"/>
            <wp:docPr id="4" name="Picture 4" descr="Figure 2 shows wo pages from Bus Rider's comic book. One has a hand drawn picture of a steakhouse and text about how his mom met his stepdad when Bus Rider was age five and hand drawn pictures of a 980 wheel loader and a school bus with text about moving to Florida at 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shows wo pages from Bus Rider's comic book. One has a hand drawn picture of a steakhouse and text about how his mom met his stepdad when Bus Rider was age five and hand drawn pictures of a 980 wheel loader and a school bus with text about moving to Florida at age 10."/>
                    <pic:cNvPicPr/>
                  </pic:nvPicPr>
                  <pic:blipFill>
                    <a:blip r:embed="rId9"/>
                    <a:stretch>
                      <a:fillRect/>
                    </a:stretch>
                  </pic:blipFill>
                  <pic:spPr>
                    <a:xfrm>
                      <a:off x="0" y="0"/>
                      <a:ext cx="4663396" cy="3201229"/>
                    </a:xfrm>
                    <a:prstGeom prst="rect">
                      <a:avLst/>
                    </a:prstGeom>
                    <a:ln>
                      <a:solidFill>
                        <a:schemeClr val="tx1"/>
                      </a:solidFill>
                    </a:ln>
                  </pic:spPr>
                </pic:pic>
              </a:graphicData>
            </a:graphic>
          </wp:inline>
        </w:drawing>
      </w:r>
    </w:p>
    <w:p w14:paraId="467CA34F" w14:textId="77777777" w:rsidR="00291717" w:rsidRPr="00331744" w:rsidRDefault="00291717" w:rsidP="00291717">
      <w:pPr>
        <w:pStyle w:val="APALevel3"/>
      </w:pPr>
      <w:bookmarkStart w:id="20" w:name="_Toc106879653"/>
      <w:r w:rsidRPr="00331744">
        <w:t>The Adolescent Earthquake: Transition Begins Earlier Than Expected</w:t>
      </w:r>
      <w:bookmarkEnd w:id="20"/>
      <w:r w:rsidRPr="00331744">
        <w:t xml:space="preserve"> </w:t>
      </w:r>
    </w:p>
    <w:p w14:paraId="3691DB07" w14:textId="233059B0" w:rsidR="00291717" w:rsidRPr="00331744" w:rsidRDefault="00291717" w:rsidP="00291717">
      <w:pPr>
        <w:pStyle w:val="BodyParagraph"/>
      </w:pPr>
      <w:r>
        <w:t xml:space="preserve">Despite stable childhoods, most </w:t>
      </w:r>
      <w:r w:rsidR="00272BCE">
        <w:t>collaborators</w:t>
      </w:r>
      <w:r>
        <w:t xml:space="preserve"> </w:t>
      </w:r>
      <w:r w:rsidRPr="00331744">
        <w:t xml:space="preserve">encountered turbulence </w:t>
      </w:r>
      <w:r>
        <w:t>in early</w:t>
      </w:r>
      <w:r w:rsidRPr="00331744">
        <w:t xml:space="preserve"> adolescence</w:t>
      </w:r>
      <w:r>
        <w:t xml:space="preserve"> upon the transition to middle school </w:t>
      </w:r>
      <w:r w:rsidRPr="00331744">
        <w:t xml:space="preserve">due </w:t>
      </w:r>
      <w:r>
        <w:t>to</w:t>
      </w:r>
      <w:r w:rsidRPr="00331744">
        <w:t xml:space="preserve"> increasingly complex social relationships, emerging sexuality, and the </w:t>
      </w:r>
      <w:r>
        <w:t>ubiquity</w:t>
      </w:r>
      <w:r w:rsidRPr="00331744">
        <w:t xml:space="preserve"> of bullying. Daredevil</w:t>
      </w:r>
      <w:r>
        <w:t xml:space="preserve">’s only recollections of secondary school revolved around </w:t>
      </w:r>
      <w:r w:rsidRPr="00331744">
        <w:t>bullying: “</w:t>
      </w:r>
      <w:r>
        <w:t>There</w:t>
      </w:r>
      <w:r w:rsidRPr="00331744">
        <w:t xml:space="preserve"> was a boy who would follow me and </w:t>
      </w:r>
      <w:r w:rsidRPr="00331744">
        <w:lastRenderedPageBreak/>
        <w:t>tease me about having a girlfriend</w:t>
      </w:r>
      <w:r>
        <w:t xml:space="preserve">, </w:t>
      </w:r>
      <w:r w:rsidRPr="00331744">
        <w:t>and teachers at school told him to stop and leave me alone, but he wouldn't”</w:t>
      </w:r>
      <w:r>
        <w:t xml:space="preserve"> (Figure 3).</w:t>
      </w:r>
      <w:r w:rsidRPr="00331744">
        <w:t xml:space="preserve"> </w:t>
      </w:r>
      <w:r>
        <w:t>Pudding similarly recalled</w:t>
      </w:r>
      <w:r w:rsidRPr="00331744">
        <w:t xml:space="preserve">: “I started to have more troubles in middle and high school when other kids started picking on me.” </w:t>
      </w:r>
      <w:r>
        <w:t>And f</w:t>
      </w:r>
      <w:r w:rsidRPr="00331744">
        <w:t xml:space="preserve">or The Dark Knight, isolation morphed into aggression: </w:t>
      </w:r>
    </w:p>
    <w:p w14:paraId="148C6068" w14:textId="44625D96" w:rsidR="00291717" w:rsidRDefault="00291717" w:rsidP="00291717">
      <w:pPr>
        <w:pStyle w:val="BodyParagraph"/>
        <w:ind w:left="720" w:firstLine="0"/>
      </w:pPr>
      <w:r w:rsidRPr="00331744">
        <w:t>I was bullied a lot—mostly name calling. Because I was slow they used to call me slow and the A-word—a curse word</w:t>
      </w:r>
      <w:r w:rsidR="00DA62EC">
        <w:t xml:space="preserve"> </w:t>
      </w:r>
      <w:proofErr w:type="gramStart"/>
      <w:r>
        <w:t>…</w:t>
      </w:r>
      <w:r w:rsidR="00AF37AA">
        <w:t xml:space="preserve"> .</w:t>
      </w:r>
      <w:proofErr w:type="gramEnd"/>
      <w:r w:rsidR="00DA62EC">
        <w:t xml:space="preserve"> </w:t>
      </w:r>
      <w:r w:rsidRPr="00331744">
        <w:t>The teachers said to one of the bullies: “Just stop bullying him.” And they still didn't listen</w:t>
      </w:r>
      <w:r w:rsidR="00DA62EC">
        <w:t xml:space="preserve"> </w:t>
      </w:r>
      <w:r>
        <w:t>…</w:t>
      </w:r>
      <w:r w:rsidR="00DA62EC">
        <w:t xml:space="preserve"> </w:t>
      </w:r>
      <w:r w:rsidR="00AF37AA">
        <w:t>s</w:t>
      </w:r>
      <w:r w:rsidRPr="00331744">
        <w:t>o they kept doing it</w:t>
      </w:r>
      <w:r w:rsidR="00DA62EC">
        <w:t xml:space="preserve"> </w:t>
      </w:r>
      <w:r>
        <w:t xml:space="preserve">… </w:t>
      </w:r>
      <w:r w:rsidRPr="00331744">
        <w:t>anywhere I turned</w:t>
      </w:r>
      <w:r w:rsidR="00AF37AA">
        <w:t xml:space="preserve"> </w:t>
      </w:r>
      <w:r>
        <w:t>…</w:t>
      </w:r>
      <w:r w:rsidR="00AF37AA">
        <w:t xml:space="preserve"> </w:t>
      </w:r>
      <w:r w:rsidRPr="00331744">
        <w:t>I basically got bullie</w:t>
      </w:r>
      <w:r>
        <w:t>d (Figure 3)</w:t>
      </w:r>
      <w:r w:rsidR="00DA62EC">
        <w:t>.</w:t>
      </w:r>
    </w:p>
    <w:p w14:paraId="685B267C" w14:textId="734BCCAF" w:rsidR="00291717" w:rsidRDefault="00291717" w:rsidP="00291717">
      <w:pPr>
        <w:pStyle w:val="BodyParagraph"/>
        <w:ind w:firstLine="0"/>
      </w:pPr>
      <w:r>
        <w:t>Diana also recalled</w:t>
      </w:r>
      <w:r w:rsidRPr="00331744">
        <w:t xml:space="preserve">: </w:t>
      </w:r>
      <w:r>
        <w:t>“</w:t>
      </w:r>
      <w:r w:rsidRPr="00331744">
        <w:t>In high school</w:t>
      </w:r>
      <w:r w:rsidR="00AF37AA">
        <w:t xml:space="preserve"> </w:t>
      </w:r>
      <w:r w:rsidRPr="00331744">
        <w:t>… I was in class with new friends who said I am stupid, I am creepy, and that I am not beautiful enough.</w:t>
      </w:r>
      <w:r>
        <w:t xml:space="preserve">” However, teacher intervention ended her harassment, and she made new friends. But in adolescence, such external shockwaves are inseparable from internal tremors which hit </w:t>
      </w:r>
      <w:r w:rsidR="00E651CF">
        <w:t>collaborators</w:t>
      </w:r>
      <w:r>
        <w:t xml:space="preserve"> particularly hard. </w:t>
      </w:r>
    </w:p>
    <w:p w14:paraId="43E5074E" w14:textId="77777777" w:rsidR="00856A97" w:rsidRDefault="00856A97" w:rsidP="00291717">
      <w:pPr>
        <w:pStyle w:val="BodyParagraph"/>
        <w:ind w:firstLine="0"/>
      </w:pPr>
    </w:p>
    <w:p w14:paraId="19EB35BA" w14:textId="77777777" w:rsidR="00856A97" w:rsidRDefault="00856A97" w:rsidP="00291717">
      <w:pPr>
        <w:pStyle w:val="BodyParagraph"/>
        <w:ind w:firstLine="0"/>
      </w:pPr>
    </w:p>
    <w:p w14:paraId="0BE40595" w14:textId="77777777" w:rsidR="00856A97" w:rsidRDefault="00856A97" w:rsidP="00291717">
      <w:pPr>
        <w:pStyle w:val="BodyParagraph"/>
        <w:ind w:firstLine="0"/>
      </w:pPr>
    </w:p>
    <w:p w14:paraId="7C6CB71F" w14:textId="77777777" w:rsidR="00856A97" w:rsidRDefault="00856A97" w:rsidP="00291717">
      <w:pPr>
        <w:pStyle w:val="BodyParagraph"/>
        <w:ind w:firstLine="0"/>
      </w:pPr>
    </w:p>
    <w:p w14:paraId="5A007476" w14:textId="77777777" w:rsidR="00856A97" w:rsidRDefault="00856A97" w:rsidP="00291717">
      <w:pPr>
        <w:pStyle w:val="BodyParagraph"/>
        <w:ind w:firstLine="0"/>
      </w:pPr>
    </w:p>
    <w:p w14:paraId="228E182E" w14:textId="77777777" w:rsidR="00856A97" w:rsidRDefault="00856A97" w:rsidP="00291717">
      <w:pPr>
        <w:pStyle w:val="BodyParagraph"/>
        <w:ind w:firstLine="0"/>
      </w:pPr>
    </w:p>
    <w:p w14:paraId="75CC18BA" w14:textId="77777777" w:rsidR="00856A97" w:rsidRDefault="00856A97" w:rsidP="00291717">
      <w:pPr>
        <w:pStyle w:val="BodyParagraph"/>
        <w:ind w:firstLine="0"/>
      </w:pPr>
    </w:p>
    <w:p w14:paraId="0B70B857" w14:textId="77777777" w:rsidR="00856A97" w:rsidRDefault="00856A97" w:rsidP="00291717">
      <w:pPr>
        <w:pStyle w:val="BodyParagraph"/>
        <w:ind w:firstLine="0"/>
      </w:pPr>
    </w:p>
    <w:p w14:paraId="723721BB" w14:textId="77777777" w:rsidR="00856A97" w:rsidRDefault="00856A97" w:rsidP="00291717">
      <w:pPr>
        <w:pStyle w:val="BodyParagraph"/>
        <w:ind w:firstLine="0"/>
      </w:pPr>
    </w:p>
    <w:p w14:paraId="62A12273" w14:textId="77777777" w:rsidR="00856A97" w:rsidRDefault="00856A97" w:rsidP="00291717">
      <w:pPr>
        <w:pStyle w:val="BodyParagraph"/>
        <w:ind w:firstLine="0"/>
      </w:pPr>
    </w:p>
    <w:p w14:paraId="6178EFE7" w14:textId="77777777" w:rsidR="00856A97" w:rsidRDefault="00856A97" w:rsidP="00291717">
      <w:pPr>
        <w:pStyle w:val="BodyParagraph"/>
        <w:ind w:firstLine="0"/>
      </w:pPr>
    </w:p>
    <w:p w14:paraId="14DECB22" w14:textId="77777777" w:rsidR="00856A97" w:rsidRDefault="00856A97" w:rsidP="00291717">
      <w:pPr>
        <w:pStyle w:val="BodyParagraph"/>
        <w:ind w:firstLine="0"/>
      </w:pPr>
    </w:p>
    <w:p w14:paraId="2817BF74" w14:textId="77777777" w:rsidR="00856A97" w:rsidRDefault="00856A97" w:rsidP="00291717">
      <w:pPr>
        <w:pStyle w:val="BodyParagraph"/>
        <w:ind w:firstLine="0"/>
      </w:pPr>
    </w:p>
    <w:p w14:paraId="213C12C4" w14:textId="6AA5343A" w:rsidR="00856A97" w:rsidRPr="00856A97" w:rsidRDefault="00291717" w:rsidP="00856A97">
      <w:pPr>
        <w:pStyle w:val="Caption"/>
        <w:rPr>
          <w:rFonts w:ascii="Times New Roman" w:hAnsi="Times New Roman" w:cs="Times New Roman"/>
          <w:color w:val="000000" w:themeColor="text1"/>
          <w:sz w:val="24"/>
          <w:szCs w:val="24"/>
        </w:rPr>
      </w:pPr>
      <w:bookmarkStart w:id="21" w:name="_Toc106879710"/>
      <w:r w:rsidRPr="00856A97">
        <w:rPr>
          <w:rFonts w:ascii="Times New Roman" w:hAnsi="Times New Roman" w:cs="Times New Roman"/>
          <w:b/>
          <w:i w:val="0"/>
          <w:iCs w:val="0"/>
          <w:color w:val="000000" w:themeColor="text1"/>
          <w:sz w:val="24"/>
          <w:szCs w:val="24"/>
        </w:rPr>
        <w:t>Figure</w:t>
      </w:r>
      <w:r w:rsidRPr="00856A97">
        <w:rPr>
          <w:rFonts w:ascii="Times New Roman" w:hAnsi="Times New Roman" w:cs="Times New Roman"/>
          <w:i w:val="0"/>
          <w:iCs w:val="0"/>
          <w:color w:val="000000" w:themeColor="text1"/>
          <w:sz w:val="24"/>
          <w:szCs w:val="24"/>
        </w:rPr>
        <w:t xml:space="preserve"> </w:t>
      </w:r>
      <w:r w:rsidRPr="00856A97">
        <w:rPr>
          <w:rFonts w:ascii="Times New Roman" w:hAnsi="Times New Roman" w:cs="Times New Roman"/>
          <w:b/>
          <w:i w:val="0"/>
          <w:iCs w:val="0"/>
          <w:color w:val="000000" w:themeColor="text1"/>
          <w:sz w:val="24"/>
          <w:szCs w:val="24"/>
        </w:rPr>
        <w:t>3</w:t>
      </w:r>
      <w:r w:rsidRPr="00856A97">
        <w:rPr>
          <w:rFonts w:ascii="Times New Roman" w:hAnsi="Times New Roman" w:cs="Times New Roman"/>
          <w:color w:val="000000" w:themeColor="text1"/>
          <w:sz w:val="24"/>
          <w:szCs w:val="24"/>
        </w:rPr>
        <w:br/>
      </w:r>
      <w:r w:rsidRPr="00856A97">
        <w:rPr>
          <w:rFonts w:ascii="Times New Roman" w:hAnsi="Times New Roman" w:cs="Times New Roman"/>
          <w:color w:val="000000" w:themeColor="text1"/>
          <w:sz w:val="24"/>
          <w:szCs w:val="24"/>
        </w:rPr>
        <w:br/>
        <w:t xml:space="preserve">Bullying </w:t>
      </w:r>
      <w:r w:rsidR="00AF37AA" w:rsidRPr="00856A97">
        <w:rPr>
          <w:rFonts w:ascii="Times New Roman" w:hAnsi="Times New Roman" w:cs="Times New Roman"/>
          <w:color w:val="000000" w:themeColor="text1"/>
          <w:sz w:val="24"/>
          <w:szCs w:val="24"/>
        </w:rPr>
        <w:t>a</w:t>
      </w:r>
      <w:r w:rsidRPr="00856A97">
        <w:rPr>
          <w:rFonts w:ascii="Times New Roman" w:hAnsi="Times New Roman" w:cs="Times New Roman"/>
          <w:color w:val="000000" w:themeColor="text1"/>
          <w:sz w:val="24"/>
          <w:szCs w:val="24"/>
        </w:rPr>
        <w:t>s Described by The Dark Knight &amp; Daredevil</w:t>
      </w:r>
      <w:bookmarkEnd w:id="21"/>
      <w:r w:rsidRPr="00856A97">
        <w:rPr>
          <w:rFonts w:ascii="Times New Roman" w:hAnsi="Times New Roman" w:cs="Times New Roman"/>
          <w:color w:val="000000" w:themeColor="text1"/>
          <w:sz w:val="24"/>
          <w:szCs w:val="24"/>
        </w:rPr>
        <w:t xml:space="preserve"> </w:t>
      </w:r>
    </w:p>
    <w:p w14:paraId="34EE5DBE" w14:textId="0C046FA7" w:rsidR="00291717" w:rsidRPr="00331744" w:rsidRDefault="00291717" w:rsidP="00291717">
      <w:pPr>
        <w:pStyle w:val="BodyParagraph"/>
        <w:ind w:firstLine="0"/>
        <w:rPr>
          <w:i/>
          <w:iCs/>
        </w:rPr>
      </w:pPr>
      <w:r>
        <w:rPr>
          <w:noProof/>
        </w:rPr>
        <mc:AlternateContent>
          <mc:Choice Requires="wps">
            <w:drawing>
              <wp:anchor distT="0" distB="0" distL="114300" distR="114300" simplePos="0" relativeHeight="251659264" behindDoc="0" locked="0" layoutInCell="1" allowOverlap="1" wp14:anchorId="5079EADA" wp14:editId="70339A97">
                <wp:simplePos x="0" y="0"/>
                <wp:positionH relativeFrom="column">
                  <wp:posOffset>2604052</wp:posOffset>
                </wp:positionH>
                <wp:positionV relativeFrom="paragraph">
                  <wp:posOffset>11596</wp:posOffset>
                </wp:positionV>
                <wp:extent cx="7951" cy="3741088"/>
                <wp:effectExtent l="0" t="0" r="30480" b="31115"/>
                <wp:wrapNone/>
                <wp:docPr id="21" name="Straight Connector 21"/>
                <wp:cNvGraphicFramePr/>
                <a:graphic xmlns:a="http://schemas.openxmlformats.org/drawingml/2006/main">
                  <a:graphicData uri="http://schemas.microsoft.com/office/word/2010/wordprocessingShape">
                    <wps:wsp>
                      <wps:cNvCnPr/>
                      <wps:spPr>
                        <a:xfrm flipH="1">
                          <a:off x="0" y="0"/>
                          <a:ext cx="7951" cy="3741088"/>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w:pict>
              <v:line w14:anchorId="02037C30" id="Straight Connector 2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05.05pt,.9pt" to="205.7pt,29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" strokecolor="black [3213]"/>
            </w:pict>
          </mc:Fallback>
        </mc:AlternateContent>
      </w:r>
      <w:r w:rsidRPr="00331744">
        <w:rPr>
          <w:noProof/>
        </w:rPr>
        <w:drawing>
          <wp:inline distT="0" distB="0" distL="0" distR="0" wp14:anchorId="06BE7431" wp14:editId="6AA3DA6D">
            <wp:extent cx="5246825" cy="3567113"/>
            <wp:effectExtent l="19050" t="19050" r="11430" b="14605"/>
            <wp:docPr id="6" name="Picture 6" descr="Figure 3 shows pages from Dark Knight’s and Daredevil’s narratives describing bullying in school along with cartoons depicting bullying, isolation, and a figure holding a stop sign as well as another anti-bully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 shows pages from Dark Knight’s and Daredevil’s narratives describing bullying in school along with cartoons depicting bullying, isolation, and a figure holding a stop sign as well as another anti-bully message."/>
                    <pic:cNvPicPr/>
                  </pic:nvPicPr>
                  <pic:blipFill>
                    <a:blip r:embed="rId10"/>
                    <a:stretch>
                      <a:fillRect/>
                    </a:stretch>
                  </pic:blipFill>
                  <pic:spPr>
                    <a:xfrm>
                      <a:off x="0" y="0"/>
                      <a:ext cx="5246825" cy="3567113"/>
                    </a:xfrm>
                    <a:prstGeom prst="rect">
                      <a:avLst/>
                    </a:prstGeom>
                    <a:ln>
                      <a:solidFill>
                        <a:schemeClr val="tx1"/>
                      </a:solidFill>
                    </a:ln>
                  </pic:spPr>
                </pic:pic>
              </a:graphicData>
            </a:graphic>
          </wp:inline>
        </w:drawing>
      </w:r>
    </w:p>
    <w:p w14:paraId="378F0263" w14:textId="7D007812" w:rsidR="00291717" w:rsidRDefault="00291717" w:rsidP="00291717">
      <w:pPr>
        <w:pStyle w:val="BodyParagraph"/>
      </w:pPr>
      <w:r>
        <w:t xml:space="preserve">For </w:t>
      </w:r>
      <w:r w:rsidRPr="00331744">
        <w:t>Sports Gu</w:t>
      </w:r>
      <w:r>
        <w:t>y, adolescence resulted in seizures and mental health issues, and things quickly spiraled out of control:</w:t>
      </w:r>
      <w:r w:rsidRPr="00331744">
        <w:t xml:space="preserve"> </w:t>
      </w:r>
      <w:r>
        <w:t>“</w:t>
      </w:r>
      <w:r w:rsidRPr="00331744">
        <w:t>I started going in and out of the damn psych unit. This continued all through middle school and high school</w:t>
      </w:r>
      <w:r w:rsidR="00AF37AA">
        <w:t xml:space="preserve"> </w:t>
      </w:r>
      <w:r>
        <w:t>…</w:t>
      </w:r>
      <w:r w:rsidR="00AF37AA">
        <w:t xml:space="preserve"> </w:t>
      </w:r>
      <w:r>
        <w:t>.</w:t>
      </w:r>
      <w:r w:rsidRPr="00331744">
        <w:t xml:space="preserve"> I would go in for one day and they would dope me up.</w:t>
      </w:r>
      <w:r>
        <w:t>”</w:t>
      </w:r>
      <w:r w:rsidRPr="00331744">
        <w:t xml:space="preserve"> </w:t>
      </w:r>
      <w:r>
        <w:t>He was soon kicked out of his home and has bounced around ever since.</w:t>
      </w:r>
      <w:r w:rsidRPr="00331744">
        <w:t xml:space="preserve"> </w:t>
      </w:r>
      <w:r>
        <w:t>And while both Diana</w:t>
      </w:r>
      <w:r w:rsidR="00AF37AA">
        <w:t>’s</w:t>
      </w:r>
      <w:r>
        <w:t xml:space="preserve"> and Daredevil’s bullying involved emerging sexuality, Pudding identifying as gay led to such severe harassment his mother transferred him to a special school out of state which, like Sports Guy, began a life of institution hopping. </w:t>
      </w:r>
      <w:r w:rsidR="00AF37AA">
        <w:t>D</w:t>
      </w:r>
      <w:r>
        <w:t xml:space="preserve">espite the disruptive role of emerging sexuality, such issues went largely unaddressed. </w:t>
      </w:r>
    </w:p>
    <w:p w14:paraId="045B6AEF" w14:textId="10589A59" w:rsidR="00291717" w:rsidRPr="00C63ADE" w:rsidRDefault="00291717" w:rsidP="00291717">
      <w:pPr>
        <w:pStyle w:val="BodyParagraph"/>
        <w:rPr>
          <w:rStyle w:val="APALevel4Char"/>
          <w:b w:val="0"/>
          <w:iCs w:val="0"/>
        </w:rPr>
      </w:pPr>
      <w:r>
        <w:t>Sports Guy lamented</w:t>
      </w:r>
      <w:r w:rsidRPr="00331744">
        <w:t>: “Nobody ever really talked to me about sex or relationships</w:t>
      </w:r>
      <w:r>
        <w:t>,</w:t>
      </w:r>
      <w:r w:rsidRPr="00331744">
        <w:t xml:space="preserve">” </w:t>
      </w:r>
      <w:r>
        <w:t xml:space="preserve">while </w:t>
      </w:r>
      <w:r w:rsidRPr="00331744">
        <w:t xml:space="preserve">Pudding </w:t>
      </w:r>
      <w:r>
        <w:t xml:space="preserve">admitted his inability to appropriately express his sexuality led to expulsion </w:t>
      </w:r>
      <w:r>
        <w:lastRenderedPageBreak/>
        <w:t>from secondary school, an adult vocational program, and supported living</w:t>
      </w:r>
      <w:r w:rsidRPr="00331744">
        <w:t xml:space="preserve">. </w:t>
      </w:r>
      <w:r>
        <w:t>He now lives in a group home after being penalized but never educated</w:t>
      </w:r>
      <w:r w:rsidRPr="00331744">
        <w:t>: “I would</w:t>
      </w:r>
      <w:r w:rsidR="00E12287">
        <w:t xml:space="preserve"> </w:t>
      </w:r>
      <w:r>
        <w:t>…</w:t>
      </w:r>
      <w:r w:rsidR="00E12287">
        <w:t xml:space="preserve"> </w:t>
      </w:r>
      <w:r w:rsidRPr="00331744">
        <w:t xml:space="preserve">like to learn how to </w:t>
      </w:r>
      <w:r>
        <w:t xml:space="preserve">not </w:t>
      </w:r>
      <w:r w:rsidRPr="00331744">
        <w:t>touch inappropriately and how to start a relationship.” Bus Rider</w:t>
      </w:r>
      <w:r>
        <w:t xml:space="preserve"> </w:t>
      </w:r>
      <w:r w:rsidRPr="00331744">
        <w:t>maintain</w:t>
      </w:r>
      <w:r>
        <w:t xml:space="preserve">ed a </w:t>
      </w:r>
      <w:r w:rsidRPr="00331744">
        <w:t xml:space="preserve">successful relationship </w:t>
      </w:r>
      <w:r>
        <w:t xml:space="preserve">throughout his years in a specialized school, but it ended upon graduation due to a lack of transportation, and </w:t>
      </w:r>
      <w:r w:rsidRPr="00331744">
        <w:t>his mother</w:t>
      </w:r>
      <w:r>
        <w:t xml:space="preserve"> restricts his ability to leave his group home out of</w:t>
      </w:r>
      <w:r w:rsidRPr="00331744">
        <w:t xml:space="preserve"> worries </w:t>
      </w:r>
      <w:r>
        <w:t>over</w:t>
      </w:r>
      <w:r w:rsidRPr="00331744">
        <w:t xml:space="preserve"> sexual contact.</w:t>
      </w:r>
      <w:r>
        <w:t xml:space="preserve"> In some cases, </w:t>
      </w:r>
      <w:r w:rsidR="00E12287">
        <w:t>however</w:t>
      </w:r>
      <w:r>
        <w:t>, effective institutional supports mitigated the turmoil.</w:t>
      </w:r>
    </w:p>
    <w:p w14:paraId="4221F391" w14:textId="084C05A3" w:rsidR="00291717" w:rsidRPr="00331744" w:rsidRDefault="00291717" w:rsidP="00291717">
      <w:pPr>
        <w:pStyle w:val="BodyParagraph"/>
      </w:pPr>
      <w:r>
        <w:t>Batgirl and Bus Rider escaped secondary school bullying while attending supportive institutions. Batgirl felt valued and connected through responsibilities such as helping younger children to the bus. Bus Rider attended a diagnosis</w:t>
      </w:r>
      <w:r w:rsidR="00042E6E">
        <w:t>-</w:t>
      </w:r>
      <w:r>
        <w:t xml:space="preserve">specific institution where he too felt engaged and supported, and effective intervention mitigated bullying for Diana. In contrast, teachers were unsuccessful intervening on behalf of </w:t>
      </w:r>
      <w:r w:rsidRPr="00331744">
        <w:t>Daredevil and The Dark Knight</w:t>
      </w:r>
      <w:r>
        <w:t>, leading to overwhelmingly negative secondary school experiences</w:t>
      </w:r>
      <w:r w:rsidR="00042E6E">
        <w:t xml:space="preserve">. </w:t>
      </w:r>
      <w:r>
        <w:t>Pudding’s harassment was so severe he moved out of state and eventually dropped out.</w:t>
      </w:r>
      <w:r w:rsidRPr="00331744">
        <w:t xml:space="preserve"> Sports Guy </w:t>
      </w:r>
      <w:r>
        <w:t>also dropped out</w:t>
      </w:r>
      <w:r w:rsidR="00A669BE">
        <w:t xml:space="preserve">, </w:t>
      </w:r>
      <w:r>
        <w:t>while</w:t>
      </w:r>
      <w:r w:rsidRPr="00331744">
        <w:t xml:space="preserve"> The Dark Knight </w:t>
      </w:r>
      <w:r>
        <w:t xml:space="preserve">persevered but likened graduation to escaping to freedom. Overall, then, difficulties integrating into controlled secondary school communities foreshadowed community integration delays in young adulthood. </w:t>
      </w:r>
    </w:p>
    <w:p w14:paraId="2B89E9FA" w14:textId="489238A5" w:rsidR="00291717" w:rsidRPr="00331744" w:rsidRDefault="00291717" w:rsidP="00291717">
      <w:pPr>
        <w:pStyle w:val="APALevel3"/>
      </w:pPr>
      <w:bookmarkStart w:id="22" w:name="_Toc106879654"/>
      <w:proofErr w:type="spellStart"/>
      <w:r w:rsidRPr="00041551">
        <w:rPr>
          <w:strike/>
        </w:rPr>
        <w:t>Dis</w:t>
      </w:r>
      <w:r w:rsidR="005A27F2" w:rsidRPr="0098734D">
        <w:t>A</w:t>
      </w:r>
      <w:r w:rsidRPr="0098131C">
        <w:t>bility</w:t>
      </w:r>
      <w:proofErr w:type="spellEnd"/>
      <w:r w:rsidRPr="00331744">
        <w:t xml:space="preserve"> Identity: I Am a Complex Person not a Disability</w:t>
      </w:r>
      <w:bookmarkEnd w:id="22"/>
      <w:r w:rsidRPr="00331744">
        <w:t xml:space="preserve"> </w:t>
      </w:r>
    </w:p>
    <w:p w14:paraId="64E1EFAA" w14:textId="2AFB488F" w:rsidR="00291717" w:rsidRDefault="00291717" w:rsidP="00291717">
      <w:pPr>
        <w:pStyle w:val="BodyParagraph"/>
      </w:pPr>
      <w:r>
        <w:t>Although study design sought insight into how participation and community integration informed self-conceptualization, collaborator identities emerged not from how their communities embraced and integrated them</w:t>
      </w:r>
      <w:r w:rsidR="00BC6C02">
        <w:t>. R</w:t>
      </w:r>
      <w:r>
        <w:t>ather</w:t>
      </w:r>
      <w:r w:rsidR="00BC6C02">
        <w:t>, they emerged</w:t>
      </w:r>
      <w:r>
        <w:t xml:space="preserve"> from how they perceived their own strength</w:t>
      </w:r>
      <w:r w:rsidR="00BC6C02">
        <w:t>s</w:t>
      </w:r>
      <w:r>
        <w:t xml:space="preserve"> and interests as well as what they could contribute</w:t>
      </w:r>
      <w:r w:rsidR="00BC6C02">
        <w:t>,</w:t>
      </w:r>
      <w:r>
        <w:t xml:space="preserve"> if allowed. </w:t>
      </w:r>
      <w:r w:rsidRPr="00331744">
        <w:t xml:space="preserve">When asked what makes them </w:t>
      </w:r>
      <w:r>
        <w:t>special</w:t>
      </w:r>
      <w:r w:rsidRPr="00331744">
        <w:t xml:space="preserve">, Daredevil, Batgirl, and Diana all referred to </w:t>
      </w:r>
      <w:r>
        <w:t>loving</w:t>
      </w:r>
      <w:r w:rsidRPr="00331744">
        <w:t xml:space="preserve"> their family while </w:t>
      </w:r>
      <w:r>
        <w:t xml:space="preserve">for </w:t>
      </w:r>
      <w:r w:rsidRPr="00331744">
        <w:t xml:space="preserve">Pudding </w:t>
      </w:r>
      <w:r>
        <w:t>it was</w:t>
      </w:r>
      <w:r w:rsidRPr="00331744">
        <w:t xml:space="preserve"> being a good and honest friend</w:t>
      </w:r>
      <w:r>
        <w:t xml:space="preserve">. </w:t>
      </w:r>
      <w:r w:rsidRPr="00331744">
        <w:t>Sports Guy</w:t>
      </w:r>
      <w:r>
        <w:t xml:space="preserve"> proudly </w:t>
      </w:r>
      <w:r>
        <w:lastRenderedPageBreak/>
        <w:t xml:space="preserve">described being a recovered alcoholic, and </w:t>
      </w:r>
      <w:r w:rsidRPr="00331744">
        <w:t xml:space="preserve">Bus Rider </w:t>
      </w:r>
      <w:r>
        <w:t>declared</w:t>
      </w:r>
      <w:r w:rsidRPr="00331744">
        <w:t>: “I will always be the strong man that I know I can be. I'm not going to let anything stop me</w:t>
      </w:r>
      <w:r>
        <w:t>.” Despite his turbulent adolescence,</w:t>
      </w:r>
      <w:r w:rsidRPr="00331744">
        <w:t xml:space="preserve"> Pudding </w:t>
      </w:r>
      <w:r>
        <w:t xml:space="preserve">formed his identity </w:t>
      </w:r>
      <w:r w:rsidRPr="00331744">
        <w:t xml:space="preserve">through </w:t>
      </w:r>
      <w:r>
        <w:t>pride in</w:t>
      </w:r>
      <w:r w:rsidRPr="00331744">
        <w:t xml:space="preserve"> his sexuality</w:t>
      </w:r>
      <w:r>
        <w:t xml:space="preserve">, </w:t>
      </w:r>
      <w:r w:rsidRPr="00331744">
        <w:t>political identity</w:t>
      </w:r>
      <w:r>
        <w:t>,</w:t>
      </w:r>
      <w:r w:rsidRPr="00331744">
        <w:t xml:space="preserve"> and </w:t>
      </w:r>
      <w:r>
        <w:t>loyalty to friends</w:t>
      </w:r>
      <w:r w:rsidRPr="00331744">
        <w:t xml:space="preserve">. </w:t>
      </w:r>
      <w:r>
        <w:t>And although diagnosis and special services were mentioned, they never dominated the narratives.</w:t>
      </w:r>
    </w:p>
    <w:p w14:paraId="4AB4306A" w14:textId="45D24BDD" w:rsidR="00291717" w:rsidRPr="00331744" w:rsidRDefault="00291717" w:rsidP="00291717">
      <w:pPr>
        <w:pStyle w:val="BodyParagraph"/>
      </w:pPr>
      <w:r>
        <w:t>Although The Dark Knight was troubled by his ASD diagnosis, he still defined himself through a desire to help</w:t>
      </w:r>
      <w:r w:rsidRPr="00331744">
        <w:t>: “I like to care for and protect people</w:t>
      </w:r>
      <w:r w:rsidR="00BC6C02">
        <w:t xml:space="preserve"> </w:t>
      </w:r>
      <w:r w:rsidRPr="00331744">
        <w:t>…</w:t>
      </w:r>
      <w:r w:rsidR="00BC6C02">
        <w:t xml:space="preserve"> </w:t>
      </w:r>
      <w:r w:rsidRPr="00331744">
        <w:t xml:space="preserve">to help and persevere and be an inspiration.” </w:t>
      </w:r>
      <w:r>
        <w:t>For Diana, her ASD diagnosis was a source of pride: “</w:t>
      </w:r>
      <w:r w:rsidRPr="00331744">
        <w:t>I was happy and excited because it helped me understand who I am.</w:t>
      </w:r>
      <w:r>
        <w:t>”</w:t>
      </w:r>
      <w:r w:rsidRPr="00331744">
        <w:t xml:space="preserve"> Daredevil </w:t>
      </w:r>
      <w:r>
        <w:t>attended a special classroom but never mentioned</w:t>
      </w:r>
      <w:r w:rsidRPr="00331744">
        <w:t xml:space="preserve"> Down syndrome</w:t>
      </w:r>
      <w:r>
        <w:t>. He touted his work ethic and proudly reiterated multiple times attaining</w:t>
      </w:r>
      <w:r w:rsidRPr="00331744">
        <w:t xml:space="preserve"> </w:t>
      </w:r>
      <w:r>
        <w:t>supported living</w:t>
      </w:r>
      <w:r w:rsidR="00DE24A5">
        <w:t>,</w:t>
      </w:r>
      <w:r>
        <w:t xml:space="preserve"> which allows greater independence than the group homes of most of his peers.</w:t>
      </w:r>
      <w:r w:rsidRPr="00331744">
        <w:t xml:space="preserve"> Batgirl</w:t>
      </w:r>
      <w:r>
        <w:t xml:space="preserve"> passingly referenced special education but identified </w:t>
      </w:r>
      <w:r w:rsidRPr="00331744">
        <w:t xml:space="preserve">as an athletic person who always </w:t>
      </w:r>
      <w:r>
        <w:t>maintained</w:t>
      </w:r>
      <w:r w:rsidRPr="00331744">
        <w:t xml:space="preserve"> a best friend</w:t>
      </w:r>
      <w:r>
        <w:t>. She liked helping others and wanted</w:t>
      </w:r>
      <w:r w:rsidRPr="00331744">
        <w:t xml:space="preserve"> to be a teacher</w:t>
      </w:r>
      <w:r>
        <w:t>, proud of her jobs at school.</w:t>
      </w:r>
      <w:r w:rsidRPr="00331744">
        <w:t xml:space="preserve"> Sports Guy discussed his mental health diagnosis but never</w:t>
      </w:r>
      <w:r>
        <w:t xml:space="preserve"> identified as</w:t>
      </w:r>
      <w:r w:rsidRPr="00331744">
        <w:t xml:space="preserve"> </w:t>
      </w:r>
      <w:r>
        <w:t>ID</w:t>
      </w:r>
      <w:r w:rsidRPr="00331744">
        <w:t xml:space="preserve"> and remained determined to </w:t>
      </w:r>
      <w:r>
        <w:t>earn</w:t>
      </w:r>
      <w:r w:rsidRPr="00331744">
        <w:t xml:space="preserve"> a </w:t>
      </w:r>
      <w:r w:rsidR="00DE24A5">
        <w:t>general equivalency degree</w:t>
      </w:r>
      <w:r w:rsidRPr="00331744">
        <w:t xml:space="preserve">. </w:t>
      </w:r>
      <w:r>
        <w:t xml:space="preserve">Even </w:t>
      </w:r>
      <w:r w:rsidR="0098734D">
        <w:t>collaborators</w:t>
      </w:r>
      <w:r w:rsidR="001670E2">
        <w:t xml:space="preserve">’ </w:t>
      </w:r>
      <w:r>
        <w:t xml:space="preserve">secret identities reflected empowerment. Riding a regular bus to his new school instead of being driven to a special bus was a seminal event for </w:t>
      </w:r>
      <w:r w:rsidRPr="00331744">
        <w:t>Bus Rider. Sports Guy</w:t>
      </w:r>
      <w:r>
        <w:t xml:space="preserve"> identified as athletic. Daredevil, The Dark Knight, Batgirl, and Diana (Wonder Woman’s alter ego) all identified through a favorite hero (perhaps taking the comic book format literally). And Pudding’s alias reflected a playful and optimistic personality. However, it was the desire to give back that most defined </w:t>
      </w:r>
      <w:r w:rsidR="001670E2">
        <w:t>collaborators</w:t>
      </w:r>
      <w:r>
        <w:t>.</w:t>
      </w:r>
    </w:p>
    <w:p w14:paraId="7DB21C4F" w14:textId="03C88DE9" w:rsidR="00291717" w:rsidRDefault="00291717" w:rsidP="00291717">
      <w:pPr>
        <w:pStyle w:val="BodyParagraph"/>
      </w:pPr>
      <w:r>
        <w:t xml:space="preserve">Despite stereotypes of social dependence, </w:t>
      </w:r>
      <w:r w:rsidR="001670E2">
        <w:t>collaborators</w:t>
      </w:r>
      <w:r>
        <w:t xml:space="preserve"> consistently expressed a desire to help others. </w:t>
      </w:r>
      <w:r w:rsidRPr="00331744">
        <w:t>Pudding</w:t>
      </w:r>
      <w:r>
        <w:t xml:space="preserve"> worked at being a good friend while Batgirl and Diana aspired to serve through teaching and nursing, respectively. </w:t>
      </w:r>
      <w:r w:rsidRPr="00331744">
        <w:t>Sports Guy</w:t>
      </w:r>
      <w:r>
        <w:t xml:space="preserve">—an avid fisherman—always </w:t>
      </w:r>
      <w:r>
        <w:lastRenderedPageBreak/>
        <w:t>cooked</w:t>
      </w:r>
      <w:r w:rsidRPr="00331744">
        <w:t xml:space="preserve"> </w:t>
      </w:r>
      <w:r>
        <w:t>his</w:t>
      </w:r>
      <w:r w:rsidRPr="00331744">
        <w:t xml:space="preserve"> catches for roommates</w:t>
      </w:r>
      <w:r>
        <w:t xml:space="preserve"> and remained determined </w:t>
      </w:r>
      <w:r w:rsidRPr="00331744">
        <w:t>to “be something with my life</w:t>
      </w:r>
      <w:r>
        <w:t>.” Despite working only one day a week,</w:t>
      </w:r>
      <w:r w:rsidRPr="00331744">
        <w:t xml:space="preserve"> Bus Rider spen</w:t>
      </w:r>
      <w:r>
        <w:t>t</w:t>
      </w:r>
      <w:r w:rsidRPr="00331744">
        <w:t xml:space="preserve"> part of his </w:t>
      </w:r>
      <w:r>
        <w:t>earnings</w:t>
      </w:r>
      <w:r w:rsidRPr="00331744">
        <w:t xml:space="preserve"> </w:t>
      </w:r>
      <w:r>
        <w:t>on</w:t>
      </w:r>
      <w:r w:rsidRPr="00331744">
        <w:t xml:space="preserve"> candy </w:t>
      </w:r>
      <w:r>
        <w:t>to share with roommates</w:t>
      </w:r>
      <w:r w:rsidRPr="00331744">
        <w:t>. Daredevil</w:t>
      </w:r>
      <w:r>
        <w:t xml:space="preserve"> was proud of his childhood chores </w:t>
      </w:r>
      <w:r w:rsidR="00C6046C">
        <w:t>that</w:t>
      </w:r>
      <w:r>
        <w:t xml:space="preserve"> he maintained in supported living</w:t>
      </w:r>
      <w:r w:rsidR="00C6046C">
        <w:t>,</w:t>
      </w:r>
      <w:r>
        <w:t xml:space="preserve"> and always aspired</w:t>
      </w:r>
      <w:r w:rsidRPr="00331744">
        <w:t xml:space="preserve"> </w:t>
      </w:r>
      <w:r>
        <w:t>“</w:t>
      </w:r>
      <w:r w:rsidRPr="00331744">
        <w:t>to help</w:t>
      </w:r>
      <w:r>
        <w:t xml:space="preserve"> customers”</w:t>
      </w:r>
      <w:r w:rsidRPr="00331744">
        <w:t xml:space="preserve"> </w:t>
      </w:r>
      <w:r>
        <w:t>in the food industry.</w:t>
      </w:r>
      <w:r w:rsidRPr="00331744">
        <w:t xml:space="preserve"> </w:t>
      </w:r>
      <w:r>
        <w:t xml:space="preserve">However, motivation extended beyond altruism. Every narrative demonstrated the importance of employment to identity, and all </w:t>
      </w:r>
      <w:r w:rsidR="00614482">
        <w:t>collaborators</w:t>
      </w:r>
      <w:r>
        <w:t xml:space="preserve"> craved the</w:t>
      </w:r>
      <w:r w:rsidRPr="00331744">
        <w:t xml:space="preserve"> economic independence </w:t>
      </w:r>
      <w:r>
        <w:t>and</w:t>
      </w:r>
      <w:r w:rsidRPr="00331744">
        <w:t xml:space="preserve"> </w:t>
      </w:r>
      <w:r>
        <w:t xml:space="preserve">the </w:t>
      </w:r>
      <w:r w:rsidRPr="00331744">
        <w:t xml:space="preserve">self-esteem </w:t>
      </w:r>
      <w:r>
        <w:t>gained through</w:t>
      </w:r>
      <w:r w:rsidRPr="00331744">
        <w:t xml:space="preserve"> employment. </w:t>
      </w:r>
    </w:p>
    <w:p w14:paraId="34F4FFAE" w14:textId="7EE9EA0A" w:rsidR="00291717" w:rsidRDefault="00291717" w:rsidP="00291717">
      <w:pPr>
        <w:pStyle w:val="BodyParagraph"/>
      </w:pPr>
      <w:r>
        <w:t>Daredevil was the most consistently employed, a frequent source of pride. Exploring vocational interests with their grandfathers ranked amongst Bus Rider</w:t>
      </w:r>
      <w:r w:rsidR="006C1D5A">
        <w:t>’s</w:t>
      </w:r>
      <w:r>
        <w:t xml:space="preserve"> and Sports Guy’s most cherished memories</w:t>
      </w:r>
      <w:r w:rsidRPr="00331744">
        <w:t xml:space="preserve">. </w:t>
      </w:r>
      <w:r>
        <w:t xml:space="preserve">Batgirl and Diana were proud of jobs sorting clothes at a thrift shop and bagging groceries. </w:t>
      </w:r>
      <w:r w:rsidRPr="00331744">
        <w:t xml:space="preserve">Pudding </w:t>
      </w:r>
      <w:r>
        <w:t>was out of work but eager to return,</w:t>
      </w:r>
      <w:r w:rsidRPr="00331744">
        <w:t xml:space="preserve"> </w:t>
      </w:r>
      <w:r>
        <w:t xml:space="preserve">and while The Dark Knight had never been employed, he helped with the family hotel business and spoke to his father about taking over one day. However, reality fell far short of their aspirations and </w:t>
      </w:r>
      <w:r w:rsidR="007E5F6C">
        <w:t>collaborators</w:t>
      </w:r>
      <w:r>
        <w:t xml:space="preserve"> consistently struggled to form realistic and actionable career plans. </w:t>
      </w:r>
    </w:p>
    <w:p w14:paraId="36018F27" w14:textId="4FF8AEBE" w:rsidR="00291717" w:rsidRDefault="00291717" w:rsidP="00291717">
      <w:pPr>
        <w:pStyle w:val="BodyParagraph"/>
      </w:pPr>
      <w:r w:rsidRPr="00331744">
        <w:t xml:space="preserve">Diana and </w:t>
      </w:r>
      <w:r>
        <w:t>Batgirl had no plan or path at attaining dream jobs in nursing and teaching. In fact, most collaborator training during transition focused on janitorial tasks such as sweeping at a mall or cleaning booths in a restaurant</w:t>
      </w:r>
      <w:r w:rsidRPr="00331744">
        <w:t xml:space="preserve">. Bus Rider </w:t>
      </w:r>
      <w:r>
        <w:t>volunteered</w:t>
      </w:r>
      <w:r w:rsidRPr="00331744">
        <w:t xml:space="preserve"> and </w:t>
      </w:r>
      <w:r>
        <w:t xml:space="preserve">held early </w:t>
      </w:r>
      <w:r w:rsidRPr="00331744">
        <w:t>paid employment</w:t>
      </w:r>
      <w:r>
        <w:t xml:space="preserve"> in such settings but </w:t>
      </w:r>
      <w:r w:rsidRPr="00331744">
        <w:t xml:space="preserve">did not qualify for PSE training. Pudding </w:t>
      </w:r>
      <w:r>
        <w:t xml:space="preserve">recalled little early vocational training, and </w:t>
      </w:r>
      <w:r w:rsidRPr="00331744">
        <w:t xml:space="preserve">PSE vocational </w:t>
      </w:r>
      <w:r>
        <w:t xml:space="preserve">training failed to result in consistent employment. </w:t>
      </w:r>
      <w:r w:rsidRPr="00331744">
        <w:t xml:space="preserve">Sports Guy </w:t>
      </w:r>
      <w:r>
        <w:t xml:space="preserve">professed higher ambitions, but admitted his future likely lies in food service, too. Perhaps more focused career training was provided, but nothing that was effective in creating enduring and actionable vocational identities. </w:t>
      </w:r>
      <w:r w:rsidR="002F5DD8">
        <w:t>So,</w:t>
      </w:r>
      <w:r>
        <w:t xml:space="preserve"> while </w:t>
      </w:r>
      <w:r w:rsidR="002F5DD8">
        <w:t>collaborators</w:t>
      </w:r>
      <w:r>
        <w:t xml:space="preserve"> did not directly define their identities through community integration, a lack of integrated opportunity clearly affected their self-image.</w:t>
      </w:r>
    </w:p>
    <w:p w14:paraId="74DD95F2" w14:textId="77777777" w:rsidR="00291717" w:rsidRPr="00331744" w:rsidRDefault="00291717" w:rsidP="00291717">
      <w:pPr>
        <w:pStyle w:val="APALevel3"/>
      </w:pPr>
      <w:bookmarkStart w:id="23" w:name="_Toc106879655"/>
      <w:r w:rsidRPr="00331744">
        <w:lastRenderedPageBreak/>
        <w:t>Mountains of Exclusion: The Policy Cliff as a Slow Climb, not a Quick Fall</w:t>
      </w:r>
      <w:bookmarkEnd w:id="23"/>
    </w:p>
    <w:p w14:paraId="73CE4964" w14:textId="1EF60936" w:rsidR="00291717" w:rsidRDefault="00291717" w:rsidP="00291717">
      <w:pPr>
        <w:pStyle w:val="BodyParagraph"/>
      </w:pPr>
      <w:r>
        <w:t>This study was built upon the expectation that postsecondary transition would be traumatic and disorienting.</w:t>
      </w:r>
      <w:r w:rsidRPr="00331744">
        <w:t xml:space="preserve"> </w:t>
      </w:r>
      <w:r>
        <w:t xml:space="preserve">However, this turned out to be the case upon entering—not exiting—secondary school. In fact, transition was experienced as overwhelmingly positive. </w:t>
      </w:r>
      <w:r w:rsidRPr="00331744">
        <w:t xml:space="preserve">Diana </w:t>
      </w:r>
      <w:r>
        <w:t>recalled</w:t>
      </w:r>
      <w:r w:rsidRPr="00331744">
        <w:t xml:space="preserve">: “When I graduated, I was happy </w:t>
      </w:r>
      <w:r>
        <w:t>…</w:t>
      </w:r>
      <w:r w:rsidR="00F4411B">
        <w:t xml:space="preserve"> </w:t>
      </w:r>
      <w:r>
        <w:t>.</w:t>
      </w:r>
      <w:r w:rsidRPr="00331744">
        <w:t xml:space="preserve"> I felt ready to be a grown up.” Bus Rider and Batgirl </w:t>
      </w:r>
      <w:r>
        <w:t xml:space="preserve">also were proud despite missing their friends. For others, leaving school was a relief. </w:t>
      </w:r>
      <w:r w:rsidRPr="00331744">
        <w:t xml:space="preserve">The Dark Knight </w:t>
      </w:r>
      <w:r>
        <w:t xml:space="preserve">stated he </w:t>
      </w:r>
      <w:r w:rsidRPr="00331744">
        <w:t>“felt like a free man</w:t>
      </w:r>
      <w:r>
        <w:t>,</w:t>
      </w:r>
      <w:r w:rsidRPr="00331744">
        <w:t>”</w:t>
      </w:r>
      <w:r>
        <w:t xml:space="preserve"> while for </w:t>
      </w:r>
      <w:r w:rsidRPr="00331744">
        <w:t xml:space="preserve">Daredevil </w:t>
      </w:r>
      <w:r>
        <w:t>it meant escaping bullying</w:t>
      </w:r>
      <w:r w:rsidRPr="00331744">
        <w:t xml:space="preserve">. </w:t>
      </w:r>
      <w:r>
        <w:t xml:space="preserve">Both </w:t>
      </w:r>
      <w:r w:rsidRPr="00331744">
        <w:t>Pudding and Sports Guy</w:t>
      </w:r>
      <w:r>
        <w:t xml:space="preserve"> dropped out to flee harassment rather than cling to IDEA, although Pudding reflected:</w:t>
      </w:r>
      <w:r w:rsidRPr="00331744">
        <w:t xml:space="preserve"> “I might have done better or stayed in school if there was less racism and bullying—if people accepted that I like boys</w:t>
      </w:r>
      <w:r>
        <w:t>.</w:t>
      </w:r>
      <w:r w:rsidRPr="00331744">
        <w:t xml:space="preserve">” </w:t>
      </w:r>
      <w:r>
        <w:t xml:space="preserve">Nevertheless, although transition was not a sudden tumble, all </w:t>
      </w:r>
      <w:r w:rsidR="00E660ED">
        <w:t>collaborators</w:t>
      </w:r>
      <w:r>
        <w:t xml:space="preserve"> have struggled to attain independence in adulthood. </w:t>
      </w:r>
    </w:p>
    <w:p w14:paraId="4BE2717F" w14:textId="6E7BC84D" w:rsidR="00291717" w:rsidRPr="00331744" w:rsidRDefault="00291717" w:rsidP="00291717">
      <w:pPr>
        <w:pStyle w:val="BodyParagraph"/>
      </w:pPr>
      <w:r>
        <w:t xml:space="preserve">None of the </w:t>
      </w:r>
      <w:r w:rsidR="00E660ED">
        <w:t xml:space="preserve">collaborators </w:t>
      </w:r>
      <w:r>
        <w:t>lived independently, and all either depended on or struggled with their families for control. Batgirl admitted</w:t>
      </w:r>
      <w:r w:rsidRPr="00331744">
        <w:t>: “My mom mostly makes big decisions and controls my life. I’m a little okay with that and a little not.”</w:t>
      </w:r>
      <w:r>
        <w:t xml:space="preserve"> Bus Rider’s mom prevented socialization outside his group home, and all four institutional residents relied on staff for leisure, shopping, and other excursions. Batgirl and Diana, both living at home, were the only </w:t>
      </w:r>
      <w:r w:rsidR="00E660ED">
        <w:t>collaborators</w:t>
      </w:r>
      <w:r>
        <w:t xml:space="preserve"> to spend significant time with friends, and Diana preferred friends visit her home. None were employed full-time, and all struggled to maintain work when obtained. And even those who earned money seldom</w:t>
      </w:r>
      <w:r w:rsidRPr="0015622C">
        <w:t xml:space="preserve"> </w:t>
      </w:r>
      <w:r>
        <w:t xml:space="preserve">controlled it. </w:t>
      </w:r>
      <w:r w:rsidRPr="00331744">
        <w:t>Bus Rider</w:t>
      </w:r>
      <w:r>
        <w:t>’s</w:t>
      </w:r>
      <w:r w:rsidRPr="00331744">
        <w:t xml:space="preserve"> parents</w:t>
      </w:r>
      <w:r>
        <w:t xml:space="preserve"> maintained financial guardianship while Batgirl’s mother cashed and controlled her paychecks. </w:t>
      </w:r>
      <w:r w:rsidRPr="00331744">
        <w:t xml:space="preserve">Sports Guy </w:t>
      </w:r>
      <w:r>
        <w:t>depended on</w:t>
      </w:r>
      <w:r w:rsidRPr="00331744">
        <w:t xml:space="preserve"> money from </w:t>
      </w:r>
      <w:r>
        <w:t>family. And whatever independence was</w:t>
      </w:r>
      <w:r w:rsidRPr="00331744">
        <w:t xml:space="preserve"> achieved was easily lost. </w:t>
      </w:r>
    </w:p>
    <w:p w14:paraId="4928EBD4" w14:textId="77777777" w:rsidR="00291717" w:rsidRPr="00331744" w:rsidRDefault="00291717" w:rsidP="00291717">
      <w:pPr>
        <w:pStyle w:val="BodyParagraph"/>
      </w:pPr>
      <w:r w:rsidRPr="00331744">
        <w:t xml:space="preserve">Pudding went from </w:t>
      </w:r>
      <w:r>
        <w:t>apartment</w:t>
      </w:r>
      <w:r w:rsidRPr="00331744">
        <w:t xml:space="preserve"> </w:t>
      </w:r>
      <w:r>
        <w:t>living during PSE</w:t>
      </w:r>
      <w:r w:rsidRPr="00331744">
        <w:t xml:space="preserve"> to supported living and then to a group home because of struggles with appropriate sexual expression. Diana, Daredevil, and </w:t>
      </w:r>
      <w:r w:rsidRPr="00331744">
        <w:lastRenderedPageBreak/>
        <w:t xml:space="preserve">Pudding all lost jobs due to </w:t>
      </w:r>
      <w:r>
        <w:t>COVID</w:t>
      </w:r>
      <w:r w:rsidRPr="00331744">
        <w:t xml:space="preserve">-19 and </w:t>
      </w:r>
      <w:r>
        <w:t>had</w:t>
      </w:r>
      <w:r w:rsidRPr="00331744">
        <w:t xml:space="preserve"> yet to regain them. And Sports Guy </w:t>
      </w:r>
      <w:r>
        <w:t>has struggled to achieve residential stability</w:t>
      </w:r>
      <w:r w:rsidRPr="00331744">
        <w:t>: “I’ve lived in a lot of group homes ever since I was 17 or 18 and don’t like any of them. I would move to one and then they would call 911 and someone would come, and I would move again.” Bus Rider met a friend at a fast</w:t>
      </w:r>
      <w:r>
        <w:t>-food</w:t>
      </w:r>
      <w:r w:rsidRPr="00331744">
        <w:t xml:space="preserve"> restaurant</w:t>
      </w:r>
      <w:r>
        <w:t xml:space="preserve"> once before</w:t>
      </w:r>
      <w:r w:rsidRPr="00331744">
        <w:t xml:space="preserve"> </w:t>
      </w:r>
      <w:r>
        <w:t>his mother intervened out of fear of inappropriate contact</w:t>
      </w:r>
      <w:r w:rsidRPr="00331744">
        <w:t xml:space="preserve">. </w:t>
      </w:r>
      <w:r>
        <w:t>Therefore</w:t>
      </w:r>
      <w:r w:rsidRPr="00331744">
        <w:t xml:space="preserve">, </w:t>
      </w:r>
      <w:r>
        <w:t xml:space="preserve">gaining </w:t>
      </w:r>
      <w:r w:rsidRPr="00331744">
        <w:t xml:space="preserve">autonomy </w:t>
      </w:r>
      <w:r>
        <w:t>and community integration was a continuous climb beginning in adolescence with any ground taken easily forfeit by the</w:t>
      </w:r>
      <w:r w:rsidRPr="00331744">
        <w:t xml:space="preserve"> slightest misstep.</w:t>
      </w:r>
    </w:p>
    <w:p w14:paraId="41EC03ED" w14:textId="77777777" w:rsidR="00291717" w:rsidRPr="00331744" w:rsidRDefault="00291717" w:rsidP="00291717">
      <w:pPr>
        <w:pStyle w:val="APALevel1"/>
      </w:pPr>
      <w:bookmarkStart w:id="24" w:name="_Toc478564741"/>
      <w:bookmarkStart w:id="25" w:name="_Toc106879657"/>
      <w:r w:rsidRPr="00331744">
        <w:t>Discussion</w:t>
      </w:r>
      <w:bookmarkEnd w:id="24"/>
      <w:bookmarkEnd w:id="25"/>
    </w:p>
    <w:p w14:paraId="165F61C2" w14:textId="65B83549" w:rsidR="00291717" w:rsidRDefault="00291717" w:rsidP="00291717">
      <w:pPr>
        <w:pStyle w:val="BodyParagraph"/>
      </w:pPr>
      <w:r>
        <w:t>While CDT and disability studies continued the march towards greater autonomy and integration, these</w:t>
      </w:r>
      <w:r w:rsidRPr="00331744">
        <w:t xml:space="preserve"> </w:t>
      </w:r>
      <w:r>
        <w:t>narratives confirm</w:t>
      </w:r>
      <w:r w:rsidRPr="00331744">
        <w:t xml:space="preserve"> </w:t>
      </w:r>
      <w:r>
        <w:t>continued</w:t>
      </w:r>
      <w:r w:rsidRPr="00331744">
        <w:t xml:space="preserve"> </w:t>
      </w:r>
      <w:r>
        <w:t>obstacles to</w:t>
      </w:r>
      <w:r w:rsidRPr="00331744">
        <w:t xml:space="preserve"> community integration</w:t>
      </w:r>
      <w:r>
        <w:t xml:space="preserve"> upon postsecondary transition for young adults with IDD and noted through studies such as the NLTS2. No </w:t>
      </w:r>
      <w:r w:rsidR="00E660ED">
        <w:t xml:space="preserve">collaborators </w:t>
      </w:r>
      <w:r>
        <w:t>lived independently or were competitively employed, and all were largely dependent for leisure and social pursuits</w:t>
      </w:r>
      <w:r w:rsidRPr="00331744">
        <w:t xml:space="preserve">. </w:t>
      </w:r>
      <w:r>
        <w:t>Such social barriers are particularly concerning because the “</w:t>
      </w:r>
      <w:r w:rsidRPr="00331744">
        <w:rPr>
          <w:i/>
          <w:iCs/>
        </w:rPr>
        <w:t>Happiness is a Friend: Social Support Not Community Integration</w:t>
      </w:r>
      <w:r>
        <w:rPr>
          <w:i/>
          <w:iCs/>
        </w:rPr>
        <w:t>”</w:t>
      </w:r>
      <w:r w:rsidRPr="00331744">
        <w:rPr>
          <w:i/>
          <w:iCs/>
        </w:rPr>
        <w:t xml:space="preserve"> Drives QOL</w:t>
      </w:r>
      <w:r w:rsidRPr="00331744">
        <w:t xml:space="preserve"> </w:t>
      </w:r>
      <w:r w:rsidR="00E660ED" w:rsidRPr="00331744">
        <w:t xml:space="preserve">theme </w:t>
      </w:r>
      <w:r w:rsidRPr="00331744">
        <w:t>demonstrate</w:t>
      </w:r>
      <w:r>
        <w:t>s</w:t>
      </w:r>
      <w:r w:rsidRPr="00331744">
        <w:t xml:space="preserve"> </w:t>
      </w:r>
      <w:r>
        <w:t>the importance of personal connections to self-fulfillment</w:t>
      </w:r>
      <w:r w:rsidRPr="00331744">
        <w:t>.</w:t>
      </w:r>
      <w:r>
        <w:t xml:space="preserve"> This theme also reflects the importance of family and positive institutional support as expressed in </w:t>
      </w:r>
      <w:r>
        <w:rPr>
          <w:iCs/>
        </w:rPr>
        <w:t>Joly’s (2015)</w:t>
      </w:r>
      <w:r w:rsidRPr="00331744">
        <w:t xml:space="preserve"> </w:t>
      </w:r>
      <w:r w:rsidRPr="00331744">
        <w:rPr>
          <w:i/>
          <w:iCs/>
        </w:rPr>
        <w:t>It Takes a Village</w:t>
      </w:r>
      <w:r w:rsidR="00E660ED">
        <w:rPr>
          <w:i/>
          <w:iCs/>
        </w:rPr>
        <w:t xml:space="preserve"> </w:t>
      </w:r>
      <w:r w:rsidR="00E660ED" w:rsidRPr="00E660ED">
        <w:t>theme</w:t>
      </w:r>
      <w:r w:rsidRPr="00E660ED">
        <w:t>.</w:t>
      </w:r>
      <w:r>
        <w:rPr>
          <w:i/>
          <w:iCs/>
        </w:rPr>
        <w:t xml:space="preserve"> </w:t>
      </w:r>
      <w:r>
        <w:t>Similarly, the “</w:t>
      </w:r>
      <w:proofErr w:type="spellStart"/>
      <w:r w:rsidRPr="00331744">
        <w:rPr>
          <w:i/>
          <w:iCs/>
          <w:strike/>
        </w:rPr>
        <w:t>Dis</w:t>
      </w:r>
      <w:r w:rsidR="005A27F2" w:rsidRPr="00E660ED">
        <w:rPr>
          <w:i/>
          <w:iCs/>
        </w:rPr>
        <w:t>A</w:t>
      </w:r>
      <w:r w:rsidRPr="00331744">
        <w:rPr>
          <w:i/>
          <w:iCs/>
        </w:rPr>
        <w:t>bility</w:t>
      </w:r>
      <w:proofErr w:type="spellEnd"/>
      <w:r w:rsidRPr="00331744">
        <w:rPr>
          <w:i/>
          <w:iCs/>
        </w:rPr>
        <w:t xml:space="preserve"> Identity: I Am a Complex Person not a Disability</w:t>
      </w:r>
      <w:r>
        <w:rPr>
          <w:i/>
          <w:iCs/>
        </w:rPr>
        <w:t>”</w:t>
      </w:r>
      <w:r w:rsidR="00E660ED" w:rsidRPr="00E660ED">
        <w:t xml:space="preserve"> </w:t>
      </w:r>
      <w:r w:rsidR="00E660ED">
        <w:t>theme</w:t>
      </w:r>
      <w:r w:rsidRPr="00331744">
        <w:t xml:space="preserve"> </w:t>
      </w:r>
      <w:r>
        <w:t>reflects the fractured vocational identities resulting from siloed services</w:t>
      </w:r>
      <w:r w:rsidR="00655DA6">
        <w:t>,</w:t>
      </w:r>
      <w:r>
        <w:t xml:space="preserve"> cited throughout transition literature </w:t>
      </w:r>
      <w:r w:rsidRPr="00331744">
        <w:t xml:space="preserve">(e.g., Benson et al., 2021; Franklin et al., 2019; Oertle et al., 2021; Plotner et al., 2020). </w:t>
      </w:r>
      <w:r>
        <w:t>The Dark Knight complained: “</w:t>
      </w:r>
      <w:r w:rsidRPr="00331744">
        <w:t>The IEP team didn’t ask what I wanted to be when I grew up</w:t>
      </w:r>
      <w:r w:rsidR="00655DA6">
        <w:t>.</w:t>
      </w:r>
      <w:r>
        <w:t>”</w:t>
      </w:r>
      <w:r w:rsidR="00655DA6">
        <w:t xml:space="preserve"> C</w:t>
      </w:r>
      <w:r>
        <w:t xml:space="preserve">ollaborator dreams eventually gave way to inconsistent service work promoted by heavily criticized cookie cutter job training centered on food services and janitorial tasks </w:t>
      </w:r>
      <w:r w:rsidRPr="00331744">
        <w:t>(Hirano et al., 2018; Joseph et al., 2017; Oertle &amp; O’Leary, 2017)</w:t>
      </w:r>
      <w:r>
        <w:t xml:space="preserve">. This does not prove that underfunded and understaffed </w:t>
      </w:r>
      <w:r>
        <w:lastRenderedPageBreak/>
        <w:t xml:space="preserve">professionals are not </w:t>
      </w:r>
      <w:r w:rsidR="00B74429">
        <w:t>trying but</w:t>
      </w:r>
      <w:r>
        <w:t xml:space="preserve"> </w:t>
      </w:r>
      <w:r w:rsidR="00B74429">
        <w:t xml:space="preserve">it </w:t>
      </w:r>
      <w:r>
        <w:t>does provide insight into how fractured service</w:t>
      </w:r>
      <w:r w:rsidR="00B74429">
        <w:t>s</w:t>
      </w:r>
      <w:r>
        <w:t xml:space="preserve"> result in fractured outcomes. </w:t>
      </w:r>
      <w:r w:rsidR="00B74429">
        <w:t>R</w:t>
      </w:r>
      <w:r>
        <w:t xml:space="preserve">ather than feeling entitled to additional services, </w:t>
      </w:r>
      <w:r w:rsidR="00E660ED">
        <w:t xml:space="preserve">collaborators </w:t>
      </w:r>
      <w:r>
        <w:t>consistently expressed a desire to give back</w:t>
      </w:r>
      <w:r w:rsidR="00B74429">
        <w:t>, although</w:t>
      </w:r>
      <w:r>
        <w:t xml:space="preserve"> their altruism </w:t>
      </w:r>
      <w:r w:rsidR="00B74429">
        <w:t>appeared</w:t>
      </w:r>
      <w:r>
        <w:t xml:space="preserve"> conspicuously absent from transition literature</w:t>
      </w:r>
      <w:r w:rsidR="00B74429">
        <w:t xml:space="preserve">. </w:t>
      </w:r>
      <w:r w:rsidR="00675FCC">
        <w:t>However, t</w:t>
      </w:r>
      <w:r w:rsidR="00B74429">
        <w:t xml:space="preserve">he </w:t>
      </w:r>
      <w:r>
        <w:t>most striking divergence from prevailing literature was</w:t>
      </w:r>
      <w:r w:rsidRPr="00331744">
        <w:t xml:space="preserve"> the absence of a perceived policy cliff. </w:t>
      </w:r>
    </w:p>
    <w:p w14:paraId="64360DF7" w14:textId="0B8805F3" w:rsidR="00291717" w:rsidRPr="009D27AF" w:rsidRDefault="00B74429" w:rsidP="00291717">
      <w:pPr>
        <w:pStyle w:val="BodyParagraph"/>
      </w:pPr>
      <w:r>
        <w:t>The</w:t>
      </w:r>
      <w:r w:rsidR="00291717">
        <w:t xml:space="preserve"> transition to secondary school caused the primary trauma throughout these narratives</w:t>
      </w:r>
      <w:r w:rsidR="00AA57D4">
        <w:t>,</w:t>
      </w:r>
      <w:r w:rsidR="00291717">
        <w:t xml:space="preserve"> </w:t>
      </w:r>
      <w:r w:rsidR="00AA57D4">
        <w:t>thus</w:t>
      </w:r>
      <w:r w:rsidR="00291717">
        <w:t xml:space="preserve"> “</w:t>
      </w:r>
      <w:r w:rsidR="00291717" w:rsidRPr="00331744">
        <w:rPr>
          <w:i/>
          <w:iCs/>
        </w:rPr>
        <w:t xml:space="preserve">The Adolescent </w:t>
      </w:r>
      <w:proofErr w:type="spellStart"/>
      <w:r w:rsidR="00291717" w:rsidRPr="00331744">
        <w:rPr>
          <w:i/>
          <w:iCs/>
        </w:rPr>
        <w:t>Earthquake:Transition</w:t>
      </w:r>
      <w:proofErr w:type="spellEnd"/>
      <w:r w:rsidR="00291717" w:rsidRPr="00331744">
        <w:rPr>
          <w:i/>
          <w:iCs/>
        </w:rPr>
        <w:t xml:space="preserve"> Begins Earlier Than Expected</w:t>
      </w:r>
      <w:r w:rsidR="00291717">
        <w:t>”</w:t>
      </w:r>
      <w:r w:rsidR="00AA57D4">
        <w:t xml:space="preserve"> theme.</w:t>
      </w:r>
      <w:r w:rsidR="00291717">
        <w:t xml:space="preserve"> For example, </w:t>
      </w:r>
      <w:r w:rsidR="00291717" w:rsidRPr="00331744">
        <w:t>Pudding</w:t>
      </w:r>
      <w:r w:rsidR="00291717">
        <w:t xml:space="preserve"> stated</w:t>
      </w:r>
      <w:r w:rsidR="00291717" w:rsidRPr="00331744">
        <w:t xml:space="preserve">: “I had a good childhood. But I started to have more troubles in middle and high school when other kids started picking on me.” </w:t>
      </w:r>
      <w:r w:rsidR="00291717">
        <w:t>The implications for CDS and disabilit</w:t>
      </w:r>
      <w:r>
        <w:t>y</w:t>
      </w:r>
      <w:r w:rsidR="00291717">
        <w:t xml:space="preserve"> studies in general are profound, </w:t>
      </w:r>
      <w:r>
        <w:t>suggesting</w:t>
      </w:r>
      <w:r w:rsidR="00291717">
        <w:t xml:space="preserve"> the focus should shift to much earlier in life. While further study is needed, waiting until 16 to address transition per IDEA may be much too late. Instead, </w:t>
      </w:r>
      <w:r w:rsidR="00291717" w:rsidRPr="00331744">
        <w:t xml:space="preserve">the </w:t>
      </w:r>
      <w:r w:rsidR="00291717">
        <w:t>“</w:t>
      </w:r>
      <w:r w:rsidR="00291717" w:rsidRPr="00331744">
        <w:rPr>
          <w:i/>
          <w:iCs/>
        </w:rPr>
        <w:t>Mountains of Exclusion: The Policy Cliff as a Slow Climb, not a Quick Fall</w:t>
      </w:r>
      <w:r w:rsidR="00291717">
        <w:rPr>
          <w:i/>
          <w:iCs/>
        </w:rPr>
        <w:t>”</w:t>
      </w:r>
      <w:r w:rsidR="00291717" w:rsidRPr="00331744">
        <w:t xml:space="preserve"> </w:t>
      </w:r>
      <w:r w:rsidR="0001765F" w:rsidRPr="00331744">
        <w:t xml:space="preserve">theme </w:t>
      </w:r>
      <w:r w:rsidR="00291717" w:rsidRPr="00331744">
        <w:t>demonstrate</w:t>
      </w:r>
      <w:r w:rsidR="00291717">
        <w:t>s</w:t>
      </w:r>
      <w:r w:rsidR="00291717" w:rsidRPr="00331744">
        <w:t xml:space="preserve"> that exclusion and </w:t>
      </w:r>
      <w:r w:rsidR="00291717">
        <w:t>disorientation</w:t>
      </w:r>
      <w:r w:rsidR="00291717" w:rsidRPr="00331744">
        <w:t xml:space="preserve"> </w:t>
      </w:r>
      <w:r w:rsidR="00291717">
        <w:t xml:space="preserve">begin at the onset of adolescence, and </w:t>
      </w:r>
      <w:r w:rsidR="00307804">
        <w:t>collaborators</w:t>
      </w:r>
      <w:r w:rsidR="00291717">
        <w:t xml:space="preserve"> entered adulthood desiring access to greater life skills and social skills training. Sexuality and relationships were among</w:t>
      </w:r>
      <w:r w:rsidR="00EA0E14">
        <w:t xml:space="preserve"> the</w:t>
      </w:r>
      <w:r w:rsidR="00291717">
        <w:t xml:space="preserve"> topics </w:t>
      </w:r>
      <w:r>
        <w:t xml:space="preserve">that </w:t>
      </w:r>
      <w:r w:rsidR="00EA0E14">
        <w:t xml:space="preserve">collaborators </w:t>
      </w:r>
      <w:r w:rsidR="00291717">
        <w:t xml:space="preserve">most desired knowledge, yet </w:t>
      </w:r>
      <w:r w:rsidR="00EA0E14">
        <w:t xml:space="preserve">these </w:t>
      </w:r>
      <w:r w:rsidR="00291717">
        <w:t xml:space="preserve">were conspicuously </w:t>
      </w:r>
      <w:r w:rsidR="00EA0E14">
        <w:t>missing</w:t>
      </w:r>
      <w:r w:rsidR="00291717">
        <w:t xml:space="preserve"> in the literature, even by </w:t>
      </w:r>
      <w:r w:rsidR="00291717" w:rsidRPr="00331744">
        <w:t>Rosenbaum and Gorter's (2012)</w:t>
      </w:r>
      <w:r w:rsidR="00291717">
        <w:t xml:space="preserve"> six f-words conceptualizing emerging adolescent participation.</w:t>
      </w:r>
      <w:r w:rsidR="00291717" w:rsidRPr="00331744">
        <w:rPr>
          <w:iCs/>
        </w:rPr>
        <w:t xml:space="preserve"> </w:t>
      </w:r>
    </w:p>
    <w:p w14:paraId="08C2A94E" w14:textId="1426455F" w:rsidR="00291717" w:rsidRPr="005E128F" w:rsidRDefault="00291717" w:rsidP="00291717">
      <w:pPr>
        <w:pStyle w:val="BodyParagraph"/>
      </w:pPr>
      <w:r>
        <w:t>Sports Guy described several girlfriends</w:t>
      </w:r>
      <w:r w:rsidR="00B8113D">
        <w:t xml:space="preserve">, </w:t>
      </w:r>
      <w:r>
        <w:t xml:space="preserve">although </w:t>
      </w:r>
      <w:r w:rsidR="00B74429">
        <w:t>the relationships</w:t>
      </w:r>
      <w:r>
        <w:t xml:space="preserve"> never lasted long</w:t>
      </w:r>
      <w:r w:rsidR="00B8113D">
        <w:t xml:space="preserve">; he expressed </w:t>
      </w:r>
      <w:r>
        <w:t>disappoint</w:t>
      </w:r>
      <w:r w:rsidR="00B8113D">
        <w:t>ment</w:t>
      </w:r>
      <w:r>
        <w:t xml:space="preserve"> in receiving little guidance on relationships. Bus Rider’s long-term relationship ended due to lack of transportation. For Daredevil, Diana and Pudding, sexuality was a source of bullying, with </w:t>
      </w:r>
      <w:r w:rsidR="00B8113D">
        <w:t>Pudding</w:t>
      </w:r>
      <w:r>
        <w:t xml:space="preserve"> stating he wished he would have been taught how to touch appropriately. This further reflects the paternalism identified in the theme</w:t>
      </w:r>
      <w:r w:rsidRPr="00331744">
        <w:t xml:space="preserve"> </w:t>
      </w:r>
      <w:r>
        <w:t>“</w:t>
      </w:r>
      <w:proofErr w:type="spellStart"/>
      <w:r w:rsidRPr="006C123A">
        <w:rPr>
          <w:i/>
          <w:iCs/>
          <w:strike/>
        </w:rPr>
        <w:t>Dis</w:t>
      </w:r>
      <w:r w:rsidR="005A27F2" w:rsidRPr="00EA0E14">
        <w:rPr>
          <w:i/>
          <w:iCs/>
        </w:rPr>
        <w:t>A</w:t>
      </w:r>
      <w:r w:rsidRPr="006C123A">
        <w:rPr>
          <w:i/>
          <w:iCs/>
        </w:rPr>
        <w:t>bility</w:t>
      </w:r>
      <w:proofErr w:type="spellEnd"/>
      <w:r w:rsidRPr="006C123A">
        <w:rPr>
          <w:i/>
          <w:iCs/>
        </w:rPr>
        <w:t xml:space="preserve"> Identity: I Am a Complex Person not a </w:t>
      </w:r>
      <w:r w:rsidRPr="00483026">
        <w:t>Disability</w:t>
      </w:r>
      <w:r>
        <w:t xml:space="preserve">,” which also appears in </w:t>
      </w:r>
      <w:r w:rsidRPr="00483026">
        <w:lastRenderedPageBreak/>
        <w:t>Francis</w:t>
      </w:r>
      <w:r w:rsidRPr="00331744">
        <w:t xml:space="preserve"> et al.</w:t>
      </w:r>
      <w:r>
        <w:t>’s</w:t>
      </w:r>
      <w:r w:rsidRPr="00331744">
        <w:t xml:space="preserve"> (2020)</w:t>
      </w:r>
      <w:r>
        <w:t xml:space="preserve"> study of the perspectives of PSE students with IDD, which found overprotectiveness was a major impediment to</w:t>
      </w:r>
      <w:r>
        <w:rPr>
          <w:iCs/>
        </w:rPr>
        <w:t xml:space="preserve"> </w:t>
      </w:r>
      <w:r w:rsidRPr="00331744">
        <w:rPr>
          <w:iCs/>
        </w:rPr>
        <w:t xml:space="preserve">independence and identity. Batgirl, Pudding, and Bus Rider all felt at least somewhat constrained by family </w:t>
      </w:r>
      <w:r>
        <w:rPr>
          <w:iCs/>
        </w:rPr>
        <w:t>while institutional control loomed large for all</w:t>
      </w:r>
      <w:r w:rsidRPr="00331744">
        <w:t xml:space="preserve">. </w:t>
      </w:r>
      <w:r>
        <w:t>This should not diminish the concerns of families and other stakeholders. Guiding children with IDD into adulthood is a complex and demanding process; however, there is clearly room for improvement.</w:t>
      </w:r>
    </w:p>
    <w:p w14:paraId="2EE5D061" w14:textId="38E1CA2D" w:rsidR="00291717" w:rsidRDefault="00291717" w:rsidP="001A25A2">
      <w:pPr>
        <w:spacing w:after="0" w:line="480" w:lineRule="auto"/>
      </w:pPr>
      <w:r>
        <w:t xml:space="preserve">These results also suggest a need to rethink the concept of community integration as defined by engagement of tasks in the community. </w:t>
      </w:r>
      <w:r w:rsidR="00C03AAD">
        <w:t>Collaborators</w:t>
      </w:r>
      <w:r>
        <w:t xml:space="preserve"> were more interested in giving back than demanding services, and they conceptualized QOL through connections rather than community engagement</w:t>
      </w:r>
      <w:r w:rsidRPr="00331744">
        <w:t xml:space="preserve">. </w:t>
      </w:r>
      <w:r>
        <w:t xml:space="preserve">Chang et al. (2013) and </w:t>
      </w:r>
      <w:r w:rsidRPr="00331744">
        <w:t>Rosenbaum and Gorter (2012)</w:t>
      </w:r>
      <w:r>
        <w:t xml:space="preserve"> provided broad and inclusive definitions of participation and community integration, which authors</w:t>
      </w:r>
      <w:r w:rsidRPr="00331744">
        <w:t xml:space="preserve"> such as Black and Lawson (2017), Lee and Morningstar (2019), and </w:t>
      </w:r>
      <w:proofErr w:type="spellStart"/>
      <w:r w:rsidRPr="00331744">
        <w:t>Liasidou</w:t>
      </w:r>
      <w:proofErr w:type="spellEnd"/>
      <w:r w:rsidRPr="00331744">
        <w:t xml:space="preserve"> and </w:t>
      </w:r>
      <w:proofErr w:type="spellStart"/>
      <w:r w:rsidRPr="00331744">
        <w:t>Symeou</w:t>
      </w:r>
      <w:proofErr w:type="spellEnd"/>
      <w:r w:rsidRPr="00331744">
        <w:t xml:space="preserve"> (2018</w:t>
      </w:r>
      <w:r>
        <w:t>) used to expand the scope of educational outcomes measures, but perhaps we need to go a step further. Integration implies an impetus on individual assimilation per external measures rather than emphasizing individual preferences. For example, Diana rarely left home and would score low on community integration measures but was largely content:</w:t>
      </w:r>
    </w:p>
    <w:p w14:paraId="4177F82C" w14:textId="450D6DD9" w:rsidR="00291717" w:rsidRPr="00331744" w:rsidRDefault="00291717" w:rsidP="001A25A2">
      <w:pPr>
        <w:spacing w:after="0" w:line="480" w:lineRule="auto"/>
        <w:ind w:left="720" w:firstLine="0"/>
      </w:pPr>
      <w:r w:rsidRPr="00331744">
        <w:t>We stay home, but one time a week my friends</w:t>
      </w:r>
      <w:r w:rsidR="001A25A2">
        <w:t xml:space="preserve"> </w:t>
      </w:r>
      <w:r>
        <w:t>…</w:t>
      </w:r>
      <w:r w:rsidR="001A25A2">
        <w:t xml:space="preserve"> </w:t>
      </w:r>
      <w:r w:rsidRPr="00331744">
        <w:t>will come over to my house and we play games. I like being at home. For exercise I go on walks with my dad twice a week. We walk around a pond on a street. I also do yoga with my mom.</w:t>
      </w:r>
    </w:p>
    <w:p w14:paraId="32788F25" w14:textId="77777777" w:rsidR="00291717" w:rsidRPr="00331744" w:rsidRDefault="00291717" w:rsidP="00DF5801">
      <w:pPr>
        <w:spacing w:after="0" w:line="480" w:lineRule="auto"/>
      </w:pPr>
      <w:r>
        <w:t xml:space="preserve">By contrast, The Dark Knight helped with the family business and attended the gym regularly but felt the most alienated. Pudding was still bullied at work and Bus Rider experienced constant turmoil at his group home. They also would score higher on quantitative measures but expressed greater detachment from their community. By contrast, </w:t>
      </w:r>
      <w:r w:rsidRPr="00331744">
        <w:t>Daredevil, Batgirl, and Diana</w:t>
      </w:r>
      <w:r>
        <w:t xml:space="preserve"> expressed stronger feelings of self-determination in maintaining social </w:t>
      </w:r>
      <w:r>
        <w:lastRenderedPageBreak/>
        <w:t>connection and thus expressed higher QOL and community connection</w:t>
      </w:r>
      <w:r w:rsidRPr="00331744">
        <w:t xml:space="preserve">. </w:t>
      </w:r>
      <w:r>
        <w:t>Therefore, as disability studies cultivates more inclusive research, perhaps role participation as determined by respondents should be emphasize over externally imposed ideal of community integration to truly empower this population.</w:t>
      </w:r>
    </w:p>
    <w:p w14:paraId="56184C24" w14:textId="77777777" w:rsidR="00291717" w:rsidRPr="00331744" w:rsidRDefault="00291717" w:rsidP="00DF5801">
      <w:pPr>
        <w:pStyle w:val="APALevel2"/>
      </w:pPr>
      <w:bookmarkStart w:id="26" w:name="_Toc106879662"/>
      <w:r w:rsidRPr="00331744">
        <w:t>Limitations</w:t>
      </w:r>
      <w:bookmarkEnd w:id="26"/>
    </w:p>
    <w:p w14:paraId="7D2DE8C7" w14:textId="25161665" w:rsidR="00291717" w:rsidRPr="00331744" w:rsidRDefault="00291717" w:rsidP="00DF5801">
      <w:pPr>
        <w:pStyle w:val="APABodyParagraph"/>
      </w:pPr>
      <w:r w:rsidRPr="00331744">
        <w:t xml:space="preserve">While </w:t>
      </w:r>
      <w:r>
        <w:t>data saturation was achieved</w:t>
      </w:r>
      <w:r w:rsidRPr="00331744">
        <w:t xml:space="preserve">, this study </w:t>
      </w:r>
      <w:r>
        <w:t>was</w:t>
      </w:r>
      <w:r w:rsidRPr="00331744">
        <w:t xml:space="preserve"> exploratory. </w:t>
      </w:r>
      <w:r>
        <w:t xml:space="preserve">Sample size was limited due to complexity of interactions, and sampling through a support agency </w:t>
      </w:r>
      <w:r w:rsidRPr="00331744">
        <w:t xml:space="preserve">excluded those who </w:t>
      </w:r>
      <w:r>
        <w:t xml:space="preserve">may </w:t>
      </w:r>
      <w:r w:rsidRPr="00331744">
        <w:t>have achieved</w:t>
      </w:r>
      <w:r>
        <w:t xml:space="preserve"> full independence</w:t>
      </w:r>
      <w:r w:rsidRPr="00331744">
        <w:t xml:space="preserve">. </w:t>
      </w:r>
      <w:r>
        <w:t xml:space="preserve">Further, this study was conducted in </w:t>
      </w:r>
      <w:r w:rsidRPr="00331744">
        <w:t>North Florida</w:t>
      </w:r>
      <w:r>
        <w:t>, and both policy and culture can vary significantly by region; t</w:t>
      </w:r>
      <w:r w:rsidRPr="00331744">
        <w:t xml:space="preserve">herefore, while many universal </w:t>
      </w:r>
      <w:r>
        <w:t>concerns</w:t>
      </w:r>
      <w:r w:rsidRPr="00331744">
        <w:t xml:space="preserve"> arose, transferability should not be overstated. </w:t>
      </w:r>
      <w:r>
        <w:t xml:space="preserve">Also, while care was taken to capture honest and accurate narratives, memory is imperfect and narrative inquiry concedes that stories are interpretations rather than confirmable facts. The comic book conceit may have also influenced storytelling as demonstrated in the choice of aliases. </w:t>
      </w:r>
      <w:r w:rsidRPr="00331744">
        <w:t xml:space="preserve">Finally, </w:t>
      </w:r>
      <w:r>
        <w:t>this</w:t>
      </w:r>
      <w:r w:rsidRPr="00331744">
        <w:t xml:space="preserve"> study was limited by </w:t>
      </w:r>
      <w:r w:rsidR="00CE525F">
        <w:t>my</w:t>
      </w:r>
      <w:r w:rsidRPr="00331744">
        <w:t xml:space="preserve"> own biases and perspective</w:t>
      </w:r>
      <w:r>
        <w:t>s</w:t>
      </w:r>
      <w:r w:rsidR="00CE525F">
        <w:t>,</w:t>
      </w:r>
      <w:r>
        <w:t xml:space="preserve"> despite reflexive journaling and grounding in CDT</w:t>
      </w:r>
      <w:r w:rsidRPr="00331744">
        <w:t xml:space="preserve">. </w:t>
      </w:r>
      <w:r>
        <w:t xml:space="preserve">We are all beholden to our experiences, and </w:t>
      </w:r>
      <w:r w:rsidRPr="00331744">
        <w:t xml:space="preserve">I chose to value and respect the </w:t>
      </w:r>
      <w:r>
        <w:t>views</w:t>
      </w:r>
      <w:r w:rsidRPr="00331744">
        <w:t xml:space="preserve"> of participants</w:t>
      </w:r>
      <w:r w:rsidR="00CE525F">
        <w:t>,</w:t>
      </w:r>
      <w:r>
        <w:t xml:space="preserve"> which I find preferable to the </w:t>
      </w:r>
      <w:r w:rsidRPr="00331744">
        <w:t>alternative</w:t>
      </w:r>
      <w:r>
        <w:t xml:space="preserve"> bias</w:t>
      </w:r>
      <w:r w:rsidRPr="00331744">
        <w:t>.</w:t>
      </w:r>
    </w:p>
    <w:p w14:paraId="6548031E" w14:textId="77777777" w:rsidR="00291717" w:rsidRPr="00331744" w:rsidRDefault="00291717" w:rsidP="00291717">
      <w:pPr>
        <w:pStyle w:val="APALevel2"/>
      </w:pPr>
      <w:bookmarkStart w:id="27" w:name="_Toc106879663"/>
      <w:r w:rsidRPr="00331744">
        <w:t>Recommendations</w:t>
      </w:r>
      <w:bookmarkEnd w:id="27"/>
    </w:p>
    <w:p w14:paraId="16AC743C" w14:textId="77777777" w:rsidR="00291717" w:rsidRPr="00331744" w:rsidRDefault="00291717" w:rsidP="00291717">
      <w:pPr>
        <w:pStyle w:val="APALevel3"/>
      </w:pPr>
      <w:bookmarkStart w:id="28" w:name="_Toc106879664"/>
      <w:r w:rsidRPr="00331744">
        <w:t xml:space="preserve">Research </w:t>
      </w:r>
      <w:bookmarkEnd w:id="28"/>
    </w:p>
    <w:p w14:paraId="70F3EF92" w14:textId="466B9493" w:rsidR="00291717" w:rsidRPr="00331744" w:rsidRDefault="00291717" w:rsidP="00291717">
      <w:pPr>
        <w:spacing w:line="480" w:lineRule="auto"/>
      </w:pPr>
      <w:r>
        <w:t>This</w:t>
      </w:r>
      <w:r w:rsidRPr="00331744">
        <w:t xml:space="preserve"> study highlight</w:t>
      </w:r>
      <w:r>
        <w:t>ed</w:t>
      </w:r>
      <w:r w:rsidRPr="00331744">
        <w:t xml:space="preserve"> the need to further explore the effects of </w:t>
      </w:r>
      <w:r>
        <w:t xml:space="preserve">early </w:t>
      </w:r>
      <w:r w:rsidRPr="00331744">
        <w:t>adolescence on disability</w:t>
      </w:r>
      <w:r>
        <w:t xml:space="preserve">, with specific </w:t>
      </w:r>
      <w:r w:rsidRPr="00331744">
        <w:t>attention paid to bullying and sexual</w:t>
      </w:r>
      <w:r>
        <w:t>ity specific to IDD, neither of which emerged as deductive codes from existing literature</w:t>
      </w:r>
      <w:r w:rsidRPr="00331744">
        <w:t xml:space="preserve">. </w:t>
      </w:r>
      <w:r w:rsidR="00CE525F">
        <w:t>W</w:t>
      </w:r>
      <w:r>
        <w:t xml:space="preserve">hile efforts have moved transition planning to age 14 in some states, this study supports further investigation into how early transition planning should begin. Further, as one collaborator without siblings failed to make friendships, the effects of siblings on social skills development for persons with IDD </w:t>
      </w:r>
      <w:r>
        <w:lastRenderedPageBreak/>
        <w:t xml:space="preserve">may warrant exploration. </w:t>
      </w:r>
      <w:r w:rsidR="008A5B75">
        <w:t>F</w:t>
      </w:r>
      <w:r>
        <w:t>inally,</w:t>
      </w:r>
      <w:r w:rsidRPr="00331744">
        <w:t xml:space="preserve"> community integration</w:t>
      </w:r>
      <w:r>
        <w:t xml:space="preserve"> as a transition outcomes measure should be examined for cultural bias.</w:t>
      </w:r>
    </w:p>
    <w:p w14:paraId="593AA2B5" w14:textId="77777777" w:rsidR="00291717" w:rsidRPr="00331744" w:rsidRDefault="00291717" w:rsidP="00291717">
      <w:pPr>
        <w:pStyle w:val="APALevel3"/>
      </w:pPr>
      <w:bookmarkStart w:id="29" w:name="_Toc106879665"/>
      <w:r w:rsidRPr="00331744">
        <w:t xml:space="preserve">Policy </w:t>
      </w:r>
      <w:bookmarkEnd w:id="29"/>
    </w:p>
    <w:p w14:paraId="3980DE88" w14:textId="40146547" w:rsidR="00291717" w:rsidRPr="00331744" w:rsidRDefault="00291717" w:rsidP="00291717">
      <w:pPr>
        <w:spacing w:line="480" w:lineRule="auto"/>
      </w:pPr>
      <w:r w:rsidRPr="00331744">
        <w:t xml:space="preserve">Although further research is needed, </w:t>
      </w:r>
      <w:r>
        <w:t>this study indicates</w:t>
      </w:r>
      <w:r w:rsidRPr="00331744">
        <w:t xml:space="preserve"> IDEA’s </w:t>
      </w:r>
      <w:r>
        <w:t xml:space="preserve">transition </w:t>
      </w:r>
      <w:r w:rsidRPr="00331744">
        <w:t>mandate at age 16</w:t>
      </w:r>
      <w:r>
        <w:t>—and perhaps the age 14 mandate of some states—</w:t>
      </w:r>
      <w:r w:rsidRPr="00331744">
        <w:t xml:space="preserve">is insufficient and </w:t>
      </w:r>
      <w:r>
        <w:t>should begin upon entering secondary school</w:t>
      </w:r>
      <w:r w:rsidRPr="00331744">
        <w:t>.</w:t>
      </w:r>
      <w:r>
        <w:t xml:space="preserve"> Also, greater </w:t>
      </w:r>
      <w:r w:rsidRPr="00331744">
        <w:t>emphasis</w:t>
      </w:r>
      <w:r>
        <w:t xml:space="preserve"> on bully</w:t>
      </w:r>
      <w:r w:rsidR="00C03AAD">
        <w:t>ing</w:t>
      </w:r>
      <w:r>
        <w:t xml:space="preserve"> prevention</w:t>
      </w:r>
      <w:r w:rsidRPr="00331744">
        <w:t xml:space="preserve"> </w:t>
      </w:r>
      <w:r>
        <w:t>for persons with disabilities should be considered, and persons</w:t>
      </w:r>
      <w:r w:rsidRPr="00331744">
        <w:t xml:space="preserve"> </w:t>
      </w:r>
      <w:r w:rsidR="00C03AAD">
        <w:t xml:space="preserve">with </w:t>
      </w:r>
      <w:r w:rsidRPr="00331744">
        <w:t xml:space="preserve">IDD </w:t>
      </w:r>
      <w:r>
        <w:t xml:space="preserve">may </w:t>
      </w:r>
      <w:r w:rsidRPr="00331744">
        <w:t>benefit from mandates to address sexuality and relationships as part of life skills training</w:t>
      </w:r>
      <w:r>
        <w:t xml:space="preserve">, as these themes failed to turn up in deductive coding yet were consistently cited as a concern by </w:t>
      </w:r>
      <w:r w:rsidR="00C03AAD">
        <w:t>collaborators</w:t>
      </w:r>
      <w:r w:rsidRPr="00331744">
        <w:t>.</w:t>
      </w:r>
      <w:r>
        <w:t xml:space="preserve"> Finally, th</w:t>
      </w:r>
      <w:r w:rsidRPr="00331744">
        <w:t xml:space="preserve">ese results connect </w:t>
      </w:r>
      <w:r>
        <w:t>studies illustrating the problem of</w:t>
      </w:r>
      <w:r w:rsidRPr="00331744">
        <w:t xml:space="preserve"> siloed services with </w:t>
      </w:r>
      <w:r>
        <w:t>that</w:t>
      </w:r>
      <w:r w:rsidRPr="00331744">
        <w:t xml:space="preserve"> illustrating fractured identity formation</w:t>
      </w:r>
      <w:r w:rsidR="008A5B75">
        <w:t xml:space="preserve"> and</w:t>
      </w:r>
      <w:r>
        <w:t xml:space="preserve"> indicating a need to promote concrete and enduring vocational identities.</w:t>
      </w:r>
    </w:p>
    <w:p w14:paraId="1FE5ED03" w14:textId="77777777" w:rsidR="00291717" w:rsidRPr="00331744" w:rsidRDefault="00291717" w:rsidP="00291717">
      <w:pPr>
        <w:pStyle w:val="APALevel3"/>
      </w:pPr>
      <w:bookmarkStart w:id="30" w:name="_Toc106879666"/>
      <w:r w:rsidRPr="00331744">
        <w:t>Methodolog</w:t>
      </w:r>
      <w:bookmarkEnd w:id="30"/>
      <w:r>
        <w:t>y</w:t>
      </w:r>
    </w:p>
    <w:p w14:paraId="52C24B41" w14:textId="48009728" w:rsidR="00291717" w:rsidRPr="00331744" w:rsidRDefault="00291717" w:rsidP="00DB5B0C">
      <w:pPr>
        <w:spacing w:after="0" w:line="480" w:lineRule="auto"/>
      </w:pPr>
      <w:r>
        <w:t>This IRB</w:t>
      </w:r>
      <w:r w:rsidR="008A5B75">
        <w:t>-</w:t>
      </w:r>
      <w:r>
        <w:t>tested design drew evidence from diverse perspectives such as disability studies and CDT, narrative inquiry, narrative psychology, and occupational therapy.</w:t>
      </w:r>
      <w:r w:rsidRPr="00331744">
        <w:t xml:space="preserve"> </w:t>
      </w:r>
      <w:r>
        <w:t>As a methodology, it embraces the ideals and goals of disability studies to promote social justice and equity through amplifying excluded voices</w:t>
      </w:r>
      <w:r w:rsidR="00DB5B0C">
        <w:t xml:space="preserve">. The design </w:t>
      </w:r>
      <w:r>
        <w:t>may present a blueprint for navigating the collaborative challenges of working with those with IDD while mitigating IRB and other oversite committee reluctance, thereby generating more inclusive research</w:t>
      </w:r>
      <w:r w:rsidRPr="00331744">
        <w:t xml:space="preserve">. </w:t>
      </w:r>
    </w:p>
    <w:p w14:paraId="02CDDB2D" w14:textId="77777777" w:rsidR="00291717" w:rsidRPr="00331744" w:rsidRDefault="00291717" w:rsidP="007215B9">
      <w:pPr>
        <w:pStyle w:val="APALevel1"/>
      </w:pPr>
      <w:bookmarkStart w:id="31" w:name="_Toc106879668"/>
      <w:r w:rsidRPr="00331744">
        <w:t>Conclusion</w:t>
      </w:r>
      <w:bookmarkEnd w:id="31"/>
    </w:p>
    <w:p w14:paraId="2E5E09AB" w14:textId="64831632" w:rsidR="00291717" w:rsidRDefault="00291717" w:rsidP="00291717">
      <w:pPr>
        <w:pStyle w:val="BodyParagraph"/>
      </w:pPr>
      <w:bookmarkStart w:id="32" w:name="References"/>
      <w:bookmarkEnd w:id="32"/>
      <w:r w:rsidRPr="00331744">
        <w:t xml:space="preserve">While </w:t>
      </w:r>
      <w:r>
        <w:t>evidence shows young adults with</w:t>
      </w:r>
      <w:r w:rsidRPr="00331744">
        <w:t xml:space="preserve"> IDD </w:t>
      </w:r>
      <w:r>
        <w:t>struggle with community integration</w:t>
      </w:r>
      <w:r w:rsidRPr="00331744">
        <w:t xml:space="preserve">, this study provided one of the first conceptualizations of postsecondary transition outcomes in </w:t>
      </w:r>
      <w:r>
        <w:t xml:space="preserve">the words of those involved. The findings affirm </w:t>
      </w:r>
      <w:r w:rsidRPr="00331744">
        <w:t xml:space="preserve">decreased levels of community </w:t>
      </w:r>
      <w:r w:rsidRPr="00331744">
        <w:lastRenderedPageBreak/>
        <w:t xml:space="preserve">participation and the need for </w:t>
      </w:r>
      <w:r>
        <w:t>increased</w:t>
      </w:r>
      <w:r w:rsidRPr="00331744">
        <w:t xml:space="preserve"> social and life skills training</w:t>
      </w:r>
      <w:r w:rsidR="00DB5B0C">
        <w:t xml:space="preserve">. They further underscore </w:t>
      </w:r>
      <w:r>
        <w:t>a need for earlier emphasis on transition services while exposing the inadequacy of</w:t>
      </w:r>
      <w:r w:rsidRPr="00331744">
        <w:t xml:space="preserve"> community integration</w:t>
      </w:r>
      <w:r>
        <w:t xml:space="preserve"> as an outcomes measure</w:t>
      </w:r>
      <w:r w:rsidRPr="00331744">
        <w:t>.</w:t>
      </w:r>
      <w:r>
        <w:t xml:space="preserve"> </w:t>
      </w:r>
      <w:r w:rsidR="00C03AAD">
        <w:t>Collaborators</w:t>
      </w:r>
      <w:r>
        <w:t xml:space="preserve"> formed empowered identities through abilities and preferences and were hopeful of the future, yet raised concerns about bullying, paternalism, inadequately coordinated services, and a lack of information on sex and relationships. These narratives described</w:t>
      </w:r>
      <w:r w:rsidRPr="00331744">
        <w:t xml:space="preserve"> rich inner lives founded upon introspection</w:t>
      </w:r>
      <w:r>
        <w:t xml:space="preserve"> and complex identify formation, demonstrating that not</w:t>
      </w:r>
      <w:r w:rsidRPr="00331744">
        <w:t xml:space="preserve"> only </w:t>
      </w:r>
      <w:r>
        <w:t>does</w:t>
      </w:r>
      <w:r w:rsidRPr="00331744">
        <w:t xml:space="preserve"> </w:t>
      </w:r>
      <w:r>
        <w:t>this population</w:t>
      </w:r>
      <w:r w:rsidRPr="00331744">
        <w:t xml:space="preserve"> desire </w:t>
      </w:r>
      <w:r>
        <w:t>to speak</w:t>
      </w:r>
      <w:r w:rsidRPr="00331744">
        <w:t xml:space="preserve"> but </w:t>
      </w:r>
      <w:r>
        <w:t xml:space="preserve">deserve </w:t>
      </w:r>
      <w:r w:rsidRPr="00331744">
        <w:t>to be heard.</w:t>
      </w:r>
      <w:bookmarkStart w:id="33" w:name="_Toc106879669"/>
    </w:p>
    <w:p w14:paraId="68A5A110" w14:textId="77777777" w:rsidR="00291717" w:rsidRDefault="00291717" w:rsidP="00291717">
      <w:r>
        <w:br w:type="page"/>
      </w:r>
    </w:p>
    <w:p w14:paraId="3520DFA5" w14:textId="77777777" w:rsidR="00291717" w:rsidRPr="00331744" w:rsidRDefault="00291717" w:rsidP="00291717">
      <w:pPr>
        <w:pStyle w:val="APALevel1"/>
      </w:pPr>
      <w:r w:rsidRPr="00331744">
        <w:lastRenderedPageBreak/>
        <w:t>References</w:t>
      </w:r>
      <w:bookmarkEnd w:id="33"/>
    </w:p>
    <w:p w14:paraId="493087F2" w14:textId="77777777" w:rsidR="00291717" w:rsidRPr="00F80852" w:rsidRDefault="00291717" w:rsidP="00291717">
      <w:pPr>
        <w:pStyle w:val="APAReference"/>
      </w:pPr>
      <w:bookmarkStart w:id="34" w:name="_Hlk135233362"/>
      <w:r w:rsidRPr="00F80852">
        <w:t xml:space="preserve">Acharya, K., Meza, R., &amp; </w:t>
      </w:r>
      <w:proofErr w:type="spellStart"/>
      <w:r w:rsidRPr="00F80852">
        <w:t>Msall</w:t>
      </w:r>
      <w:proofErr w:type="spellEnd"/>
      <w:r w:rsidRPr="00F80852">
        <w:t xml:space="preserve">, M. E. (2017). Disparities in life course outcomes for transition-aged youth with disabilities. </w:t>
      </w:r>
      <w:r w:rsidRPr="00F80852">
        <w:rPr>
          <w:i/>
          <w:iCs/>
        </w:rPr>
        <w:t>Pediatric Annals</w:t>
      </w:r>
      <w:r w:rsidRPr="00F80852">
        <w:t xml:space="preserve">, </w:t>
      </w:r>
      <w:r w:rsidRPr="00F80852">
        <w:rPr>
          <w:i/>
          <w:iCs/>
        </w:rPr>
        <w:t>46</w:t>
      </w:r>
      <w:r w:rsidRPr="00F80852">
        <w:t xml:space="preserve">(10), 371–376. </w:t>
      </w:r>
      <w:hyperlink r:id="rId11" w:history="1">
        <w:r w:rsidRPr="00F80852">
          <w:rPr>
            <w:rStyle w:val="Hyperlink"/>
            <w:color w:val="auto"/>
          </w:rPr>
          <w:t>https://doi.org/10.3928/19382359-20170918-01</w:t>
        </w:r>
      </w:hyperlink>
      <w:r w:rsidRPr="00F80852">
        <w:t xml:space="preserve"> </w:t>
      </w:r>
    </w:p>
    <w:p w14:paraId="65DC21EF" w14:textId="77777777" w:rsidR="00291717" w:rsidRPr="00F80852" w:rsidRDefault="00291717" w:rsidP="00291717">
      <w:pPr>
        <w:pStyle w:val="APAReference"/>
      </w:pPr>
      <w:r w:rsidRPr="00F80852">
        <w:t xml:space="preserve">Amado, A. N., Stancliffe, R. J., McCarron, M., &amp; McCallion, P. (2013). Social inclusion and community participation of individuals with intellectual/developmental disabilities. </w:t>
      </w:r>
      <w:r w:rsidRPr="00F80852">
        <w:rPr>
          <w:i/>
          <w:iCs/>
        </w:rPr>
        <w:t>Intellectual and Developmental Disabilities</w:t>
      </w:r>
      <w:r w:rsidRPr="00F80852">
        <w:t xml:space="preserve">, </w:t>
      </w:r>
      <w:r w:rsidRPr="00F80852">
        <w:rPr>
          <w:i/>
          <w:iCs/>
        </w:rPr>
        <w:t>51</w:t>
      </w:r>
      <w:r w:rsidRPr="00F80852">
        <w:t xml:space="preserve">(5), 360–375. </w:t>
      </w:r>
      <w:hyperlink r:id="rId12" w:history="1">
        <w:r w:rsidRPr="00F80852">
          <w:rPr>
            <w:rStyle w:val="Hyperlink"/>
            <w:color w:val="auto"/>
          </w:rPr>
          <w:t>https://doi.org/10.1352/1934-9556-51.5.360</w:t>
        </w:r>
      </w:hyperlink>
      <w:r w:rsidRPr="00F80852">
        <w:t xml:space="preserve"> </w:t>
      </w:r>
    </w:p>
    <w:p w14:paraId="490EB18E" w14:textId="77777777" w:rsidR="00291717" w:rsidRPr="00F80852" w:rsidRDefault="00291717" w:rsidP="00291717">
      <w:pPr>
        <w:pStyle w:val="APAReference"/>
      </w:pPr>
      <w:r w:rsidRPr="00F80852">
        <w:t xml:space="preserve">Baker, J. N., Lowrey, K. A., &amp; </w:t>
      </w:r>
      <w:proofErr w:type="spellStart"/>
      <w:r w:rsidRPr="00F80852">
        <w:t>Wennerlind</w:t>
      </w:r>
      <w:proofErr w:type="spellEnd"/>
      <w:r w:rsidRPr="00F80852">
        <w:t xml:space="preserve">, K. R. (2018). Building an inclusive post-secondary education program for young adults with intellectual developmental disability. </w:t>
      </w:r>
      <w:r w:rsidRPr="00F80852">
        <w:rPr>
          <w:i/>
          <w:iCs/>
        </w:rPr>
        <w:t>Physical Disabilities: Education and Related Services</w:t>
      </w:r>
      <w:r w:rsidRPr="00F80852">
        <w:t xml:space="preserve">, </w:t>
      </w:r>
      <w:r w:rsidRPr="00F80852">
        <w:rPr>
          <w:i/>
          <w:iCs/>
        </w:rPr>
        <w:t>37</w:t>
      </w:r>
      <w:r w:rsidRPr="00F80852">
        <w:t xml:space="preserve">(2), 13–33. </w:t>
      </w:r>
      <w:hyperlink r:id="rId13" w:history="1">
        <w:r w:rsidRPr="00F80852">
          <w:rPr>
            <w:rStyle w:val="Hyperlink"/>
            <w:color w:val="auto"/>
          </w:rPr>
          <w:t>https://doi.org/10.14434/pders.v37i2.25738</w:t>
        </w:r>
      </w:hyperlink>
      <w:r w:rsidRPr="00F80852">
        <w:t xml:space="preserve"> </w:t>
      </w:r>
    </w:p>
    <w:p w14:paraId="53BE655C" w14:textId="77777777" w:rsidR="00291717" w:rsidRPr="00F80852" w:rsidRDefault="00291717" w:rsidP="00291717">
      <w:pPr>
        <w:pStyle w:val="APAReference"/>
      </w:pPr>
      <w:r w:rsidRPr="00F80852">
        <w:t xml:space="preserve">Bell, A. A., &amp; Zamani-Gallaher, E. M. (2017). Access, accommodation, and reasoned action among collegians with disabilities. </w:t>
      </w:r>
      <w:r w:rsidRPr="00F80852">
        <w:rPr>
          <w:i/>
          <w:iCs/>
        </w:rPr>
        <w:t>Journal of Applied Research in the Community College</w:t>
      </w:r>
      <w:r w:rsidRPr="00F80852">
        <w:t xml:space="preserve">, </w:t>
      </w:r>
      <w:r w:rsidRPr="00F80852">
        <w:rPr>
          <w:i/>
          <w:iCs/>
        </w:rPr>
        <w:t>24</w:t>
      </w:r>
      <w:r w:rsidRPr="00F80852">
        <w:t>(1), 95–106.</w:t>
      </w:r>
    </w:p>
    <w:p w14:paraId="4A434CEB" w14:textId="77777777" w:rsidR="00291717" w:rsidRPr="006123DF" w:rsidRDefault="00291717" w:rsidP="00291717">
      <w:pPr>
        <w:pStyle w:val="Bibliography"/>
        <w:contextualSpacing/>
        <w:rPr>
          <w:rFonts w:ascii="Times New Roman" w:hAnsi="Times New Roman" w:cs="Times New Roman"/>
        </w:rPr>
      </w:pPr>
      <w:r w:rsidRPr="006123DF">
        <w:rPr>
          <w:rFonts w:ascii="Times New Roman" w:hAnsi="Times New Roman" w:cs="Times New Roman"/>
        </w:rPr>
        <w:t xml:space="preserve">Benson, J. D., Tokarski, R., </w:t>
      </w:r>
      <w:proofErr w:type="spellStart"/>
      <w:r w:rsidRPr="006123DF">
        <w:rPr>
          <w:rFonts w:ascii="Times New Roman" w:hAnsi="Times New Roman" w:cs="Times New Roman"/>
        </w:rPr>
        <w:t>Blaskowitz</w:t>
      </w:r>
      <w:proofErr w:type="spellEnd"/>
      <w:r w:rsidRPr="006123DF">
        <w:rPr>
          <w:rFonts w:ascii="Times New Roman" w:hAnsi="Times New Roman" w:cs="Times New Roman"/>
        </w:rPr>
        <w:t xml:space="preserve">, M. G., &amp; </w:t>
      </w:r>
      <w:proofErr w:type="spellStart"/>
      <w:r w:rsidRPr="006123DF">
        <w:rPr>
          <w:rFonts w:ascii="Times New Roman" w:hAnsi="Times New Roman" w:cs="Times New Roman"/>
        </w:rPr>
        <w:t>Geubtner</w:t>
      </w:r>
      <w:proofErr w:type="spellEnd"/>
      <w:r w:rsidRPr="006123DF">
        <w:rPr>
          <w:rFonts w:ascii="Times New Roman" w:hAnsi="Times New Roman" w:cs="Times New Roman"/>
        </w:rPr>
        <w:t xml:space="preserve">, A. (2021). Phenomenological study of the transition process for adolescents with intellectual and developmental disabilities. </w:t>
      </w:r>
      <w:r w:rsidRPr="006123DF">
        <w:rPr>
          <w:rFonts w:ascii="Times New Roman" w:hAnsi="Times New Roman" w:cs="Times New Roman"/>
          <w:i/>
          <w:iCs/>
        </w:rPr>
        <w:t>The American Journal of Occupational Therapy</w:t>
      </w:r>
      <w:r w:rsidRPr="006123DF">
        <w:rPr>
          <w:rFonts w:ascii="Times New Roman" w:hAnsi="Times New Roman" w:cs="Times New Roman"/>
        </w:rPr>
        <w:t xml:space="preserve">, </w:t>
      </w:r>
      <w:r w:rsidRPr="006123DF">
        <w:rPr>
          <w:rFonts w:ascii="Times New Roman" w:hAnsi="Times New Roman" w:cs="Times New Roman"/>
          <w:i/>
          <w:iCs/>
        </w:rPr>
        <w:t>75</w:t>
      </w:r>
      <w:r w:rsidRPr="006123DF">
        <w:rPr>
          <w:rFonts w:ascii="Times New Roman" w:hAnsi="Times New Roman" w:cs="Times New Roman"/>
        </w:rPr>
        <w:t xml:space="preserve">(3), 1-10. </w:t>
      </w:r>
      <w:hyperlink r:id="rId14" w:history="1">
        <w:r w:rsidRPr="006123DF">
          <w:rPr>
            <w:rStyle w:val="Hyperlink"/>
            <w:rFonts w:ascii="Times New Roman" w:hAnsi="Times New Roman" w:cs="Times New Roman"/>
            <w:color w:val="auto"/>
          </w:rPr>
          <w:t>https://doi.org/10.5014/ajot.2021.044289</w:t>
        </w:r>
      </w:hyperlink>
      <w:r w:rsidRPr="006123DF">
        <w:rPr>
          <w:rFonts w:ascii="Times New Roman" w:hAnsi="Times New Roman" w:cs="Times New Roman"/>
        </w:rPr>
        <w:t xml:space="preserve"> </w:t>
      </w:r>
    </w:p>
    <w:p w14:paraId="12EAACB0" w14:textId="77777777" w:rsidR="00291717" w:rsidRPr="00F80852" w:rsidRDefault="00291717" w:rsidP="00291717">
      <w:pPr>
        <w:pStyle w:val="APAReference"/>
      </w:pPr>
      <w:r w:rsidRPr="00F80852">
        <w:t xml:space="preserve">Berg, L. A., Jirikowic, T., </w:t>
      </w:r>
      <w:proofErr w:type="spellStart"/>
      <w:r w:rsidRPr="00F80852">
        <w:t>Haerling</w:t>
      </w:r>
      <w:proofErr w:type="spellEnd"/>
      <w:r w:rsidRPr="00F80852">
        <w:t xml:space="preserve">, K., &amp; MacDonald, G. (2017). Navigating the hidden curriculum of higher education for postsecondary students with intellectual disabilities. </w:t>
      </w:r>
      <w:r w:rsidRPr="00F80852">
        <w:rPr>
          <w:i/>
          <w:iCs/>
        </w:rPr>
        <w:t>American Journal of Occupational Therapy</w:t>
      </w:r>
      <w:r w:rsidRPr="00F80852">
        <w:t xml:space="preserve">, </w:t>
      </w:r>
      <w:r w:rsidRPr="00F80852">
        <w:rPr>
          <w:i/>
          <w:iCs/>
        </w:rPr>
        <w:t>71</w:t>
      </w:r>
      <w:r w:rsidRPr="00F80852">
        <w:t xml:space="preserve">(3), 1–9. </w:t>
      </w:r>
      <w:hyperlink r:id="rId15" w:history="1">
        <w:r w:rsidRPr="00F80852">
          <w:rPr>
            <w:rStyle w:val="Hyperlink"/>
            <w:color w:val="auto"/>
          </w:rPr>
          <w:t>https://doi.org/10.5014/ajot.2017.024703</w:t>
        </w:r>
      </w:hyperlink>
      <w:r w:rsidRPr="00F80852">
        <w:t xml:space="preserve"> </w:t>
      </w:r>
    </w:p>
    <w:p w14:paraId="4FEFA332" w14:textId="77777777" w:rsidR="00291717" w:rsidRPr="00F80852" w:rsidRDefault="00291717" w:rsidP="00291717">
      <w:pPr>
        <w:pStyle w:val="APAReference"/>
      </w:pPr>
      <w:r w:rsidRPr="00F80852">
        <w:t xml:space="preserve">Bjornsdottir, K., Goodley, D., &amp; Sigurjonsdottir, H. B. (2014). Behind the quest for tales, </w:t>
      </w:r>
      <w:r w:rsidRPr="00F80852">
        <w:lastRenderedPageBreak/>
        <w:t xml:space="preserve">stories, and lives: Reflections on narrative research with people with intellectual disabilities. </w:t>
      </w:r>
      <w:r w:rsidRPr="00F80852">
        <w:rPr>
          <w:i/>
          <w:iCs/>
        </w:rPr>
        <w:t>Icelandic Journal of Education</w:t>
      </w:r>
      <w:r w:rsidRPr="00F80852">
        <w:t xml:space="preserve">, </w:t>
      </w:r>
      <w:r w:rsidRPr="00F80852">
        <w:rPr>
          <w:i/>
          <w:iCs/>
        </w:rPr>
        <w:t>23</w:t>
      </w:r>
      <w:r w:rsidRPr="00F80852">
        <w:t>(2), 87–104.</w:t>
      </w:r>
    </w:p>
    <w:p w14:paraId="3754850A" w14:textId="77777777" w:rsidR="00291717" w:rsidRPr="00F80852" w:rsidRDefault="00291717" w:rsidP="00291717">
      <w:pPr>
        <w:pStyle w:val="APAReference"/>
      </w:pPr>
      <w:r w:rsidRPr="00F80852">
        <w:t xml:space="preserve">Black, A., &amp; Lawson, H. (2017). Purposes of education for young people with severe learning difficulties: Exploring a vocational teaching resource: ‘A </w:t>
      </w:r>
      <w:proofErr w:type="gramStart"/>
      <w:r w:rsidRPr="00F80852">
        <w:t>stepping stone</w:t>
      </w:r>
      <w:proofErr w:type="gramEnd"/>
      <w:r w:rsidRPr="00F80852">
        <w:t xml:space="preserve"> to…’ what? </w:t>
      </w:r>
      <w:r w:rsidRPr="00F80852">
        <w:rPr>
          <w:i/>
          <w:iCs/>
        </w:rPr>
        <w:t>Cambridge Journal of Education</w:t>
      </w:r>
      <w:r w:rsidRPr="00F80852">
        <w:t xml:space="preserve">, </w:t>
      </w:r>
      <w:r w:rsidRPr="00F80852">
        <w:rPr>
          <w:i/>
          <w:iCs/>
        </w:rPr>
        <w:t>47</w:t>
      </w:r>
      <w:r w:rsidRPr="00F80852">
        <w:t xml:space="preserve">(2), 207–226. </w:t>
      </w:r>
      <w:hyperlink r:id="rId16" w:history="1">
        <w:r w:rsidRPr="00F80852">
          <w:rPr>
            <w:rStyle w:val="Hyperlink"/>
            <w:color w:val="auto"/>
          </w:rPr>
          <w:t>https://doi.org/10.1080/0305764X.2016.1142505</w:t>
        </w:r>
      </w:hyperlink>
      <w:r w:rsidRPr="00F80852">
        <w:t xml:space="preserve"> </w:t>
      </w:r>
    </w:p>
    <w:p w14:paraId="40809C3C" w14:textId="57542CA5" w:rsidR="00291717" w:rsidRPr="00787B39" w:rsidRDefault="00291717" w:rsidP="00291717">
      <w:pPr>
        <w:pStyle w:val="APAReference"/>
      </w:pPr>
      <w:r>
        <w:t>Chang, F.</w:t>
      </w:r>
      <w:r w:rsidR="00512E84">
        <w:t>-H.</w:t>
      </w:r>
      <w:r>
        <w:t xml:space="preserve">, Coster, W. J., &amp; Helfrich, C. A. (2013). Community participation measures for people with disabilities: A systematic review of content from an </w:t>
      </w:r>
      <w:r w:rsidR="00512E84">
        <w:t>i</w:t>
      </w:r>
      <w:r w:rsidRPr="0029505B">
        <w:t xml:space="preserve">nternational </w:t>
      </w:r>
      <w:r w:rsidR="00512E84">
        <w:t>c</w:t>
      </w:r>
      <w:r w:rsidRPr="0029505B">
        <w:t xml:space="preserve">lassification of </w:t>
      </w:r>
      <w:r w:rsidR="00512E84">
        <w:t>f</w:t>
      </w:r>
      <w:r w:rsidRPr="0029505B">
        <w:t xml:space="preserve">unction, </w:t>
      </w:r>
      <w:r w:rsidR="00512E84">
        <w:t>d</w:t>
      </w:r>
      <w:r w:rsidRPr="0029505B">
        <w:t xml:space="preserve">isability and </w:t>
      </w:r>
      <w:r w:rsidR="00512E84">
        <w:t>h</w:t>
      </w:r>
      <w:r w:rsidRPr="0029505B">
        <w:t xml:space="preserve">ealth </w:t>
      </w:r>
      <w:r>
        <w:t>p</w:t>
      </w:r>
      <w:r w:rsidRPr="0029505B">
        <w:t>erspective</w:t>
      </w:r>
      <w:r>
        <w:rPr>
          <w:i/>
          <w:iCs/>
        </w:rPr>
        <w:t>. Archives of Physical Medicine and Rehabilitation, 94</w:t>
      </w:r>
      <w:r w:rsidR="00512E84">
        <w:t>(4)</w:t>
      </w:r>
      <w:r w:rsidR="00512E84">
        <w:rPr>
          <w:i/>
          <w:iCs/>
        </w:rPr>
        <w:t xml:space="preserve">, </w:t>
      </w:r>
      <w:r>
        <w:t xml:space="preserve">771-781. </w:t>
      </w:r>
      <w:hyperlink r:id="rId17" w:history="1">
        <w:r w:rsidR="00512E84" w:rsidRPr="00512E84">
          <w:rPr>
            <w:rStyle w:val="Hyperlink"/>
          </w:rPr>
          <w:t>https://doi.org/10.1016/j.apmr.2012.10.031</w:t>
        </w:r>
      </w:hyperlink>
    </w:p>
    <w:p w14:paraId="20F68E34" w14:textId="77777777" w:rsidR="00291717" w:rsidRPr="00F80852" w:rsidRDefault="00291717" w:rsidP="00291717">
      <w:pPr>
        <w:pStyle w:val="APAReference"/>
      </w:pPr>
      <w:r w:rsidRPr="00F80852">
        <w:t xml:space="preserve">Charlton, J. I. (2000). </w:t>
      </w:r>
      <w:r w:rsidRPr="00F80852">
        <w:rPr>
          <w:i/>
          <w:iCs/>
        </w:rPr>
        <w:t>Nothing about us without us: Disability, oppression, and empowerment</w:t>
      </w:r>
      <w:r w:rsidRPr="00F80852">
        <w:t>. University of California Press.</w:t>
      </w:r>
    </w:p>
    <w:p w14:paraId="2DBA23A7" w14:textId="77777777" w:rsidR="00291717" w:rsidRPr="00F80852" w:rsidRDefault="00291717" w:rsidP="00291717">
      <w:pPr>
        <w:pStyle w:val="APAReference"/>
      </w:pPr>
      <w:r w:rsidRPr="00F80852">
        <w:t xml:space="preserve">Clandinin, D. J. (2016). </w:t>
      </w:r>
      <w:r w:rsidRPr="00F80852">
        <w:rPr>
          <w:i/>
          <w:iCs/>
        </w:rPr>
        <w:t>Engaging in narrative inquiry</w:t>
      </w:r>
      <w:r w:rsidRPr="00F80852">
        <w:t>. Routledge.</w:t>
      </w:r>
    </w:p>
    <w:p w14:paraId="58F69170" w14:textId="4B77DDD4" w:rsidR="00291717" w:rsidRPr="008B0BCF" w:rsidRDefault="00291717" w:rsidP="00291717">
      <w:pPr>
        <w:pStyle w:val="NormalWeb"/>
        <w:spacing w:before="0" w:beforeAutospacing="0" w:after="0" w:afterAutospacing="0" w:line="480" w:lineRule="auto"/>
        <w:ind w:left="720" w:hanging="720"/>
      </w:pPr>
      <w:r w:rsidRPr="008B0BCF">
        <w:t xml:space="preserve">Dean, E. E., Fisher, K. W., Shogren, K. A., &amp; Wehmeyer, M. L. (2016). Participation and intellectual disability: A review of the literature. </w:t>
      </w:r>
      <w:r w:rsidRPr="008B0BCF">
        <w:rPr>
          <w:i/>
          <w:iCs/>
        </w:rPr>
        <w:t>Intellectual and Developmental Disabilities, 54</w:t>
      </w:r>
      <w:r w:rsidRPr="008B0BCF">
        <w:t>(6), 427–439</w:t>
      </w:r>
      <w:r w:rsidR="008B0BCF" w:rsidRPr="008B0BCF">
        <w:rPr>
          <w:color w:val="000000"/>
        </w:rPr>
        <w:t xml:space="preserve">. </w:t>
      </w:r>
      <w:hyperlink r:id="rId18" w:history="1">
        <w:r w:rsidRPr="008B0BCF">
          <w:rPr>
            <w:rStyle w:val="Hyperlink"/>
          </w:rPr>
          <w:t>https://doi.org/10.1352/1934-9556-54.6.427</w:t>
        </w:r>
      </w:hyperlink>
    </w:p>
    <w:p w14:paraId="06365261" w14:textId="77777777" w:rsidR="00291717" w:rsidRPr="003418E5" w:rsidRDefault="00291717" w:rsidP="00291717">
      <w:pPr>
        <w:pStyle w:val="Bibliography"/>
        <w:contextualSpacing/>
        <w:rPr>
          <w:rFonts w:ascii="Times New Roman" w:hAnsi="Times New Roman" w:cs="Times New Roman"/>
          <w:sz w:val="24"/>
          <w:szCs w:val="24"/>
        </w:rPr>
      </w:pPr>
      <w:r w:rsidRPr="003418E5">
        <w:rPr>
          <w:rFonts w:ascii="Times New Roman" w:hAnsi="Times New Roman" w:cs="Times New Roman"/>
          <w:sz w:val="24"/>
          <w:szCs w:val="24"/>
        </w:rPr>
        <w:t xml:space="preserve">Domin, D., Taylor, A. B., Haines, K. A., Papay, C. K., &amp; </w:t>
      </w:r>
      <w:proofErr w:type="spellStart"/>
      <w:r w:rsidRPr="003418E5">
        <w:rPr>
          <w:rFonts w:ascii="Times New Roman" w:hAnsi="Times New Roman" w:cs="Times New Roman"/>
          <w:sz w:val="24"/>
          <w:szCs w:val="24"/>
        </w:rPr>
        <w:t>Grigal</w:t>
      </w:r>
      <w:proofErr w:type="spellEnd"/>
      <w:r w:rsidRPr="003418E5">
        <w:rPr>
          <w:rFonts w:ascii="Times New Roman" w:hAnsi="Times New Roman" w:cs="Times New Roman"/>
          <w:sz w:val="24"/>
          <w:szCs w:val="24"/>
        </w:rPr>
        <w:t xml:space="preserve">, M. (2020). It’s not just about a paycheck: Perspectives on employment preparation of students with intellectual disability in federally funded higher education programs. </w:t>
      </w:r>
      <w:r w:rsidRPr="003418E5">
        <w:rPr>
          <w:rFonts w:ascii="Times New Roman" w:hAnsi="Times New Roman" w:cs="Times New Roman"/>
          <w:i/>
          <w:iCs/>
          <w:sz w:val="24"/>
          <w:szCs w:val="24"/>
        </w:rPr>
        <w:t>Intellectual and Developmental Disabilities</w:t>
      </w:r>
      <w:r w:rsidRPr="003418E5">
        <w:rPr>
          <w:rFonts w:ascii="Times New Roman" w:hAnsi="Times New Roman" w:cs="Times New Roman"/>
          <w:sz w:val="24"/>
          <w:szCs w:val="24"/>
        </w:rPr>
        <w:t xml:space="preserve">, </w:t>
      </w:r>
      <w:r w:rsidRPr="003418E5">
        <w:rPr>
          <w:rFonts w:ascii="Times New Roman" w:hAnsi="Times New Roman" w:cs="Times New Roman"/>
          <w:i/>
          <w:iCs/>
          <w:sz w:val="24"/>
          <w:szCs w:val="24"/>
        </w:rPr>
        <w:t>58</w:t>
      </w:r>
      <w:r w:rsidRPr="003418E5">
        <w:rPr>
          <w:rFonts w:ascii="Times New Roman" w:hAnsi="Times New Roman" w:cs="Times New Roman"/>
          <w:sz w:val="24"/>
          <w:szCs w:val="24"/>
        </w:rPr>
        <w:t xml:space="preserve">(4), 328–347. </w:t>
      </w:r>
      <w:hyperlink r:id="rId19" w:history="1">
        <w:r w:rsidRPr="003418E5">
          <w:rPr>
            <w:rStyle w:val="Hyperlink"/>
            <w:rFonts w:ascii="Times New Roman" w:hAnsi="Times New Roman" w:cs="Times New Roman"/>
            <w:color w:val="auto"/>
            <w:sz w:val="24"/>
            <w:szCs w:val="24"/>
          </w:rPr>
          <w:t>https://doi.org/10.1352/1934-9556-58.4.328</w:t>
        </w:r>
      </w:hyperlink>
      <w:r w:rsidRPr="003418E5">
        <w:rPr>
          <w:rFonts w:ascii="Times New Roman" w:hAnsi="Times New Roman" w:cs="Times New Roman"/>
          <w:sz w:val="24"/>
          <w:szCs w:val="24"/>
        </w:rPr>
        <w:t xml:space="preserve"> </w:t>
      </w:r>
    </w:p>
    <w:p w14:paraId="6D02FACC" w14:textId="339B86D8" w:rsidR="00291717" w:rsidRPr="003418E5" w:rsidRDefault="00291717" w:rsidP="00291717">
      <w:pPr>
        <w:pStyle w:val="Bibliography"/>
        <w:rPr>
          <w:rFonts w:ascii="Times New Roman" w:hAnsi="Times New Roman" w:cs="Times New Roman"/>
          <w:sz w:val="24"/>
          <w:szCs w:val="24"/>
        </w:rPr>
      </w:pPr>
      <w:r w:rsidRPr="003418E5">
        <w:rPr>
          <w:rFonts w:ascii="Times New Roman" w:hAnsi="Times New Roman" w:cs="Times New Roman"/>
          <w:sz w:val="24"/>
          <w:szCs w:val="24"/>
        </w:rPr>
        <w:t xml:space="preserve">Francis, G. L., Reed, A. S., &amp; Howard, M. E. (2020). Interactions with and between families and professionals in college: Perspectives of young adults with </w:t>
      </w:r>
      <w:r w:rsidR="00B8113D">
        <w:rPr>
          <w:rFonts w:ascii="Times New Roman" w:hAnsi="Times New Roman" w:cs="Times New Roman"/>
          <w:sz w:val="24"/>
          <w:szCs w:val="24"/>
        </w:rPr>
        <w:t>i</w:t>
      </w:r>
      <w:r w:rsidRPr="003418E5">
        <w:rPr>
          <w:rFonts w:ascii="Times New Roman" w:hAnsi="Times New Roman" w:cs="Times New Roman"/>
          <w:sz w:val="24"/>
          <w:szCs w:val="24"/>
        </w:rPr>
        <w:t xml:space="preserve">ntellectual and </w:t>
      </w:r>
      <w:r w:rsidR="00B8113D">
        <w:rPr>
          <w:rFonts w:ascii="Times New Roman" w:hAnsi="Times New Roman" w:cs="Times New Roman"/>
          <w:sz w:val="24"/>
          <w:szCs w:val="24"/>
        </w:rPr>
        <w:lastRenderedPageBreak/>
        <w:t>d</w:t>
      </w:r>
      <w:r w:rsidRPr="003418E5">
        <w:rPr>
          <w:rFonts w:ascii="Times New Roman" w:hAnsi="Times New Roman" w:cs="Times New Roman"/>
          <w:sz w:val="24"/>
          <w:szCs w:val="24"/>
        </w:rPr>
        <w:t xml:space="preserve">evelopmental </w:t>
      </w:r>
      <w:r w:rsidR="00B8113D">
        <w:rPr>
          <w:rFonts w:ascii="Times New Roman" w:hAnsi="Times New Roman" w:cs="Times New Roman"/>
          <w:sz w:val="24"/>
          <w:szCs w:val="24"/>
        </w:rPr>
        <w:t>d</w:t>
      </w:r>
      <w:r w:rsidRPr="003418E5">
        <w:rPr>
          <w:rFonts w:ascii="Times New Roman" w:hAnsi="Times New Roman" w:cs="Times New Roman"/>
          <w:sz w:val="24"/>
          <w:szCs w:val="24"/>
        </w:rPr>
        <w:t xml:space="preserve">isabilities. </w:t>
      </w:r>
      <w:r w:rsidRPr="003418E5">
        <w:rPr>
          <w:rFonts w:ascii="Times New Roman" w:hAnsi="Times New Roman" w:cs="Times New Roman"/>
          <w:i/>
          <w:iCs/>
          <w:sz w:val="24"/>
          <w:szCs w:val="24"/>
        </w:rPr>
        <w:t>Inclusion</w:t>
      </w:r>
      <w:r w:rsidRPr="003418E5">
        <w:rPr>
          <w:rFonts w:ascii="Times New Roman" w:hAnsi="Times New Roman" w:cs="Times New Roman"/>
          <w:sz w:val="24"/>
          <w:szCs w:val="24"/>
        </w:rPr>
        <w:t xml:space="preserve">, </w:t>
      </w:r>
      <w:r w:rsidRPr="003418E5">
        <w:rPr>
          <w:rFonts w:ascii="Times New Roman" w:hAnsi="Times New Roman" w:cs="Times New Roman"/>
          <w:i/>
          <w:iCs/>
          <w:sz w:val="24"/>
          <w:szCs w:val="24"/>
        </w:rPr>
        <w:t>8</w:t>
      </w:r>
      <w:r w:rsidRPr="003418E5">
        <w:rPr>
          <w:rFonts w:ascii="Times New Roman" w:hAnsi="Times New Roman" w:cs="Times New Roman"/>
          <w:sz w:val="24"/>
          <w:szCs w:val="24"/>
        </w:rPr>
        <w:t xml:space="preserve">(2), 163–179. </w:t>
      </w:r>
      <w:hyperlink r:id="rId20" w:history="1">
        <w:r w:rsidRPr="003418E5">
          <w:rPr>
            <w:rStyle w:val="Hyperlink"/>
            <w:rFonts w:ascii="Times New Roman" w:hAnsi="Times New Roman" w:cs="Times New Roman"/>
            <w:color w:val="auto"/>
            <w:sz w:val="24"/>
            <w:szCs w:val="24"/>
          </w:rPr>
          <w:t>https://doi.org/10.1352/2326-6988-8.2.163</w:t>
        </w:r>
      </w:hyperlink>
      <w:r w:rsidRPr="003418E5">
        <w:rPr>
          <w:rFonts w:ascii="Times New Roman" w:hAnsi="Times New Roman" w:cs="Times New Roman"/>
          <w:sz w:val="24"/>
          <w:szCs w:val="24"/>
        </w:rPr>
        <w:t xml:space="preserve"> </w:t>
      </w:r>
    </w:p>
    <w:p w14:paraId="265C60B8" w14:textId="77777777" w:rsidR="00291717" w:rsidRPr="00F80852" w:rsidRDefault="00291717" w:rsidP="00291717">
      <w:pPr>
        <w:pStyle w:val="APAReference"/>
      </w:pPr>
      <w:r w:rsidRPr="00F80852">
        <w:t xml:space="preserve">Franklin, M. S., Beyer, L. N., </w:t>
      </w:r>
      <w:proofErr w:type="spellStart"/>
      <w:r w:rsidRPr="00F80852">
        <w:t>Brotkin</w:t>
      </w:r>
      <w:proofErr w:type="spellEnd"/>
      <w:r w:rsidRPr="00F80852">
        <w:t xml:space="preserve">, S. M., Maslow, G. R., Pollock, M. D., &amp; Docherty, S. L. (2019). Health care transition for adolescent and young adults with intellectual disability: Views from the parents. </w:t>
      </w:r>
      <w:r w:rsidRPr="00F80852">
        <w:rPr>
          <w:i/>
          <w:iCs/>
        </w:rPr>
        <w:t>Journal of Pediatric Nursing</w:t>
      </w:r>
      <w:r w:rsidRPr="00F80852">
        <w:t xml:space="preserve">, </w:t>
      </w:r>
      <w:r w:rsidRPr="00F80852">
        <w:rPr>
          <w:i/>
          <w:iCs/>
        </w:rPr>
        <w:t>47</w:t>
      </w:r>
      <w:r w:rsidRPr="00F80852">
        <w:t xml:space="preserve">, 148–158. </w:t>
      </w:r>
      <w:hyperlink r:id="rId21" w:history="1">
        <w:r w:rsidRPr="00F80852">
          <w:rPr>
            <w:rStyle w:val="Hyperlink"/>
            <w:color w:val="auto"/>
          </w:rPr>
          <w:t>https://doi.org/10.1016/j.pedn.2019.05.008</w:t>
        </w:r>
      </w:hyperlink>
      <w:r w:rsidRPr="00F80852">
        <w:t xml:space="preserve"> </w:t>
      </w:r>
    </w:p>
    <w:p w14:paraId="40F72904" w14:textId="77777777" w:rsidR="00291717" w:rsidRPr="00F80852" w:rsidRDefault="00291717" w:rsidP="00291717">
      <w:pPr>
        <w:pStyle w:val="APAReference"/>
      </w:pPr>
      <w:r w:rsidRPr="00F80852">
        <w:t xml:space="preserve">Hall, M. C. (2019). Critical disability theory. In E. N. Zalta (ed.), </w:t>
      </w:r>
      <w:r w:rsidRPr="00F80852">
        <w:rPr>
          <w:i/>
          <w:iCs/>
        </w:rPr>
        <w:t xml:space="preserve">Stanford Encyclopedia of Philosophy </w:t>
      </w:r>
      <w:r w:rsidRPr="00F80852">
        <w:t>(Winter 2019),</w:t>
      </w:r>
      <w:r w:rsidRPr="00F80852">
        <w:rPr>
          <w:i/>
          <w:iCs/>
        </w:rPr>
        <w:t xml:space="preserve"> Metaphysics Research Lab, </w:t>
      </w:r>
      <w:r w:rsidRPr="00F80852">
        <w:t xml:space="preserve">Stanford University. </w:t>
      </w:r>
    </w:p>
    <w:p w14:paraId="64ED64CE" w14:textId="5F6FB18F" w:rsidR="00291717" w:rsidRPr="00BD0FD1" w:rsidRDefault="00291717" w:rsidP="00291717">
      <w:pPr>
        <w:pStyle w:val="NormalWeb"/>
        <w:spacing w:before="0" w:beforeAutospacing="0" w:after="0" w:afterAutospacing="0" w:line="480" w:lineRule="auto"/>
        <w:ind w:left="720" w:hanging="720"/>
        <w:rPr>
          <w:color w:val="000000"/>
        </w:rPr>
      </w:pPr>
      <w:r w:rsidRPr="00BD0FD1">
        <w:rPr>
          <w:color w:val="000000"/>
        </w:rPr>
        <w:t xml:space="preserve">Hall, S. A. (2017). Community involvement of young adults with intellectual disabilities: Their experiences and perspectives on inclusion. </w:t>
      </w:r>
      <w:r w:rsidRPr="00BD0FD1">
        <w:rPr>
          <w:i/>
          <w:iCs/>
          <w:color w:val="000000"/>
        </w:rPr>
        <w:t>Journal of Applied Research in Intellectual Disabilities</w:t>
      </w:r>
      <w:r w:rsidRPr="00BD0FD1">
        <w:rPr>
          <w:color w:val="000000"/>
        </w:rPr>
        <w:t xml:space="preserve">, </w:t>
      </w:r>
      <w:r w:rsidRPr="00BD0FD1">
        <w:rPr>
          <w:i/>
          <w:iCs/>
          <w:color w:val="000000"/>
        </w:rPr>
        <w:t>30</w:t>
      </w:r>
      <w:r w:rsidRPr="00BD0FD1">
        <w:rPr>
          <w:color w:val="000000"/>
        </w:rPr>
        <w:t xml:space="preserve">(5), 859–871. </w:t>
      </w:r>
      <w:hyperlink r:id="rId22" w:history="1">
        <w:r w:rsidRPr="00AC70D0">
          <w:rPr>
            <w:rStyle w:val="Hyperlink"/>
          </w:rPr>
          <w:t>https://doi.org/10.1111/jar.12276</w:t>
        </w:r>
      </w:hyperlink>
    </w:p>
    <w:p w14:paraId="02411153" w14:textId="77777777" w:rsidR="00291717" w:rsidRPr="00F80852" w:rsidRDefault="00291717" w:rsidP="00291717">
      <w:pPr>
        <w:pStyle w:val="APAReference"/>
      </w:pPr>
      <w:r w:rsidRPr="00F80852">
        <w:t xml:space="preserve">Hirano, K. A., Rowe, D., Lindstrom, L., &amp; Chan, P. (2018). Systemic barriers to family involvement in transition planning for youth with disabilities: A qualitative </w:t>
      </w:r>
      <w:proofErr w:type="spellStart"/>
      <w:r w:rsidRPr="00F80852">
        <w:t>metasynthesis</w:t>
      </w:r>
      <w:proofErr w:type="spellEnd"/>
      <w:r w:rsidRPr="00F80852">
        <w:t xml:space="preserve">. </w:t>
      </w:r>
      <w:r w:rsidRPr="00F80852">
        <w:rPr>
          <w:i/>
          <w:iCs/>
        </w:rPr>
        <w:t>Journal of Child and Family Studies</w:t>
      </w:r>
      <w:r w:rsidRPr="00F80852">
        <w:t xml:space="preserve">, </w:t>
      </w:r>
      <w:r w:rsidRPr="00F80852">
        <w:rPr>
          <w:i/>
          <w:iCs/>
        </w:rPr>
        <w:t>27</w:t>
      </w:r>
      <w:r w:rsidRPr="00F80852">
        <w:t xml:space="preserve">(11), 3440–3456. </w:t>
      </w:r>
      <w:hyperlink r:id="rId23" w:history="1">
        <w:r w:rsidRPr="00F80852">
          <w:rPr>
            <w:rStyle w:val="Hyperlink"/>
            <w:color w:val="auto"/>
          </w:rPr>
          <w:t>https://doi.org/10.1007/s10826-018-1189-y</w:t>
        </w:r>
      </w:hyperlink>
      <w:r w:rsidRPr="00F80852">
        <w:t xml:space="preserve"> </w:t>
      </w:r>
    </w:p>
    <w:p w14:paraId="15425281" w14:textId="4B77A02D" w:rsidR="00291717" w:rsidRPr="00347CE8" w:rsidRDefault="00291717" w:rsidP="00291717">
      <w:pPr>
        <w:pStyle w:val="Bibliography"/>
        <w:contextualSpacing/>
        <w:rPr>
          <w:rFonts w:ascii="Times New Roman" w:hAnsi="Times New Roman" w:cs="Times New Roman"/>
          <w:sz w:val="24"/>
          <w:szCs w:val="24"/>
        </w:rPr>
      </w:pPr>
      <w:r w:rsidRPr="00347CE8">
        <w:rPr>
          <w:rFonts w:ascii="Times New Roman" w:hAnsi="Times New Roman" w:cs="Times New Roman"/>
          <w:sz w:val="24"/>
          <w:szCs w:val="24"/>
        </w:rPr>
        <w:t xml:space="preserve">Horn, A. L., Bean, K. M., Layden, S. J., Terpstra, J. E., &amp; Holloway, K. C. (2020). Building collaborative partnerships to increase postsecondary education opportunities for students with </w:t>
      </w:r>
      <w:r w:rsidR="000E672F">
        <w:rPr>
          <w:rFonts w:ascii="Times New Roman" w:hAnsi="Times New Roman" w:cs="Times New Roman"/>
          <w:sz w:val="24"/>
          <w:szCs w:val="24"/>
        </w:rPr>
        <w:t>i</w:t>
      </w:r>
      <w:r w:rsidRPr="00347CE8">
        <w:rPr>
          <w:rFonts w:ascii="Times New Roman" w:hAnsi="Times New Roman" w:cs="Times New Roman"/>
          <w:sz w:val="24"/>
          <w:szCs w:val="24"/>
        </w:rPr>
        <w:t xml:space="preserve">ntellectual and </w:t>
      </w:r>
      <w:r w:rsidR="000E672F">
        <w:rPr>
          <w:rFonts w:ascii="Times New Roman" w:hAnsi="Times New Roman" w:cs="Times New Roman"/>
          <w:sz w:val="24"/>
          <w:szCs w:val="24"/>
        </w:rPr>
        <w:t>d</w:t>
      </w:r>
      <w:r w:rsidRPr="00347CE8">
        <w:rPr>
          <w:rFonts w:ascii="Times New Roman" w:hAnsi="Times New Roman" w:cs="Times New Roman"/>
          <w:sz w:val="24"/>
          <w:szCs w:val="24"/>
        </w:rPr>
        <w:t xml:space="preserve">evelopmental </w:t>
      </w:r>
      <w:r w:rsidR="000E672F">
        <w:rPr>
          <w:rFonts w:ascii="Times New Roman" w:hAnsi="Times New Roman" w:cs="Times New Roman"/>
          <w:sz w:val="24"/>
          <w:szCs w:val="24"/>
        </w:rPr>
        <w:t>d</w:t>
      </w:r>
      <w:r w:rsidRPr="00347CE8">
        <w:rPr>
          <w:rFonts w:ascii="Times New Roman" w:hAnsi="Times New Roman" w:cs="Times New Roman"/>
          <w:sz w:val="24"/>
          <w:szCs w:val="24"/>
        </w:rPr>
        <w:t xml:space="preserve">isabilities. </w:t>
      </w:r>
      <w:r w:rsidRPr="00347CE8">
        <w:rPr>
          <w:rFonts w:ascii="Times New Roman" w:hAnsi="Times New Roman" w:cs="Times New Roman"/>
          <w:i/>
          <w:iCs/>
          <w:sz w:val="24"/>
          <w:szCs w:val="24"/>
        </w:rPr>
        <w:t>School-University Partnerships</w:t>
      </w:r>
      <w:r w:rsidRPr="00347CE8">
        <w:rPr>
          <w:rFonts w:ascii="Times New Roman" w:hAnsi="Times New Roman" w:cs="Times New Roman"/>
          <w:sz w:val="24"/>
          <w:szCs w:val="24"/>
        </w:rPr>
        <w:t xml:space="preserve">, </w:t>
      </w:r>
      <w:r w:rsidRPr="00347CE8">
        <w:rPr>
          <w:rFonts w:ascii="Times New Roman" w:hAnsi="Times New Roman" w:cs="Times New Roman"/>
          <w:i/>
          <w:iCs/>
          <w:sz w:val="24"/>
          <w:szCs w:val="24"/>
        </w:rPr>
        <w:t>13</w:t>
      </w:r>
      <w:r w:rsidRPr="00347CE8">
        <w:rPr>
          <w:rFonts w:ascii="Times New Roman" w:hAnsi="Times New Roman" w:cs="Times New Roman"/>
          <w:sz w:val="24"/>
          <w:szCs w:val="24"/>
        </w:rPr>
        <w:t>(2), 82–85.</w:t>
      </w:r>
    </w:p>
    <w:p w14:paraId="2C63DEEE" w14:textId="77777777" w:rsidR="00291717" w:rsidRPr="00347CE8" w:rsidRDefault="00291717" w:rsidP="00291717">
      <w:pPr>
        <w:pStyle w:val="APAReference"/>
      </w:pPr>
      <w:r w:rsidRPr="00347CE8">
        <w:t xml:space="preserve">Jacobs, P., </w:t>
      </w:r>
      <w:proofErr w:type="spellStart"/>
      <w:r w:rsidRPr="00347CE8">
        <w:t>MacMahon</w:t>
      </w:r>
      <w:proofErr w:type="spellEnd"/>
      <w:r w:rsidRPr="00347CE8">
        <w:t xml:space="preserve">, K., &amp; Quayle, E. (2018). Transition from school to adult services for young people with severe or profound intellectual disability: A systematic review utilizing framework synthesis. </w:t>
      </w:r>
      <w:r w:rsidRPr="00347CE8">
        <w:rPr>
          <w:i/>
          <w:iCs/>
        </w:rPr>
        <w:t>Journal of Applied Research in Intellectual Disabilities</w:t>
      </w:r>
      <w:r w:rsidRPr="00347CE8">
        <w:t xml:space="preserve">, </w:t>
      </w:r>
      <w:r w:rsidRPr="00347CE8">
        <w:rPr>
          <w:i/>
          <w:iCs/>
        </w:rPr>
        <w:t>31</w:t>
      </w:r>
      <w:r w:rsidRPr="00347CE8">
        <w:t xml:space="preserve">(6), 962–982. </w:t>
      </w:r>
      <w:hyperlink r:id="rId24" w:history="1">
        <w:r w:rsidRPr="00347CE8">
          <w:rPr>
            <w:rStyle w:val="Hyperlink"/>
            <w:color w:val="auto"/>
          </w:rPr>
          <w:t>https://doi.org/10.1111/jar.12466</w:t>
        </w:r>
      </w:hyperlink>
      <w:r w:rsidRPr="00347CE8">
        <w:t xml:space="preserve"> </w:t>
      </w:r>
    </w:p>
    <w:p w14:paraId="0E6C268F" w14:textId="77777777" w:rsidR="00291717" w:rsidRPr="00F80852" w:rsidRDefault="00291717" w:rsidP="00291717">
      <w:pPr>
        <w:pStyle w:val="APAReference"/>
      </w:pPr>
      <w:r w:rsidRPr="00F80852">
        <w:t xml:space="preserve">Joly, E. (2015). Transition to adulthood for young people with medical complexity: An </w:t>
      </w:r>
      <w:r w:rsidRPr="00F80852">
        <w:lastRenderedPageBreak/>
        <w:t xml:space="preserve">integrative literature review. </w:t>
      </w:r>
      <w:r w:rsidRPr="00F80852">
        <w:rPr>
          <w:i/>
          <w:iCs/>
        </w:rPr>
        <w:t>Journal of Pediatric Nursing</w:t>
      </w:r>
      <w:r w:rsidRPr="00F80852">
        <w:t xml:space="preserve">, </w:t>
      </w:r>
      <w:r w:rsidRPr="00F80852">
        <w:rPr>
          <w:i/>
          <w:iCs/>
        </w:rPr>
        <w:t>30</w:t>
      </w:r>
      <w:r w:rsidRPr="00F80852">
        <w:t xml:space="preserve">(5), 91–103. </w:t>
      </w:r>
      <w:hyperlink r:id="rId25" w:history="1">
        <w:r w:rsidRPr="00F80852">
          <w:rPr>
            <w:rStyle w:val="Hyperlink"/>
            <w:color w:val="auto"/>
          </w:rPr>
          <w:t>https://doi.org/10.1016/j.pedn.2015.05.016</w:t>
        </w:r>
      </w:hyperlink>
      <w:r w:rsidRPr="00F80852">
        <w:t xml:space="preserve"> </w:t>
      </w:r>
    </w:p>
    <w:p w14:paraId="660FE41C" w14:textId="2FED160A" w:rsidR="00291717" w:rsidRPr="00F80852" w:rsidRDefault="00291717" w:rsidP="00291717">
      <w:pPr>
        <w:pStyle w:val="APAReference"/>
      </w:pPr>
      <w:r w:rsidRPr="00F80852">
        <w:t>Joseph, M.</w:t>
      </w:r>
      <w:r w:rsidR="00655DA6">
        <w:t>-</w:t>
      </w:r>
      <w:r w:rsidRPr="00F80852">
        <w:t xml:space="preserve">A. M., </w:t>
      </w:r>
      <w:proofErr w:type="spellStart"/>
      <w:r w:rsidRPr="00F80852">
        <w:t>Osmanu</w:t>
      </w:r>
      <w:proofErr w:type="spellEnd"/>
      <w:r w:rsidRPr="00F80852">
        <w:t xml:space="preserve">, K., &amp; Moss, K. (2017). Ethical considerations for working with transition aged youth and students with disabilities given the implications of WIOA. </w:t>
      </w:r>
      <w:r w:rsidRPr="00F80852">
        <w:rPr>
          <w:i/>
          <w:iCs/>
        </w:rPr>
        <w:t>Journal of Applied Rehabilitation Counseling</w:t>
      </w:r>
      <w:r w:rsidRPr="00F80852">
        <w:t xml:space="preserve">, </w:t>
      </w:r>
      <w:r w:rsidRPr="00F80852">
        <w:rPr>
          <w:i/>
          <w:iCs/>
        </w:rPr>
        <w:t>48</w:t>
      </w:r>
      <w:r w:rsidRPr="00F80852">
        <w:t xml:space="preserve">(2), 42–47. </w:t>
      </w:r>
      <w:hyperlink r:id="rId26" w:history="1">
        <w:r w:rsidRPr="00F80852">
          <w:rPr>
            <w:rStyle w:val="Hyperlink"/>
            <w:color w:val="auto"/>
          </w:rPr>
          <w:t>https://doi.org/10.1891/0047-2220.48.2.42</w:t>
        </w:r>
      </w:hyperlink>
      <w:r w:rsidRPr="00F80852">
        <w:t xml:space="preserve"> </w:t>
      </w:r>
    </w:p>
    <w:p w14:paraId="0AAEEDCD" w14:textId="77777777" w:rsidR="00291717" w:rsidRPr="00F80852" w:rsidRDefault="00291717" w:rsidP="00291717">
      <w:pPr>
        <w:pStyle w:val="APAReference"/>
      </w:pPr>
      <w:proofErr w:type="spellStart"/>
      <w:r w:rsidRPr="00F80852">
        <w:t>Jovchelovitch</w:t>
      </w:r>
      <w:proofErr w:type="spellEnd"/>
      <w:r w:rsidRPr="00F80852">
        <w:t xml:space="preserve">, S., &amp; Bauer, M. W. (2000). </w:t>
      </w:r>
      <w:r w:rsidRPr="00F80852">
        <w:rPr>
          <w:i/>
          <w:iCs/>
        </w:rPr>
        <w:t>Narrative interviewing</w:t>
      </w:r>
      <w:r w:rsidRPr="00F80852">
        <w:t xml:space="preserve">. In M. W. Bauer &amp; G. Gaskell (Eds.) </w:t>
      </w:r>
      <w:r w:rsidRPr="00F80852">
        <w:rPr>
          <w:i/>
          <w:iCs/>
        </w:rPr>
        <w:t xml:space="preserve">Qualitative researching with text, image, and sound: A practical handbook </w:t>
      </w:r>
      <w:r w:rsidRPr="00F80852">
        <w:t>(pp. 57-74).</w:t>
      </w:r>
      <w:r w:rsidRPr="00F80852">
        <w:rPr>
          <w:i/>
          <w:iCs/>
        </w:rPr>
        <w:t xml:space="preserve"> </w:t>
      </w:r>
      <w:r w:rsidRPr="00F80852">
        <w:t xml:space="preserve">SAGE. </w:t>
      </w:r>
    </w:p>
    <w:p w14:paraId="73E58CF6" w14:textId="77777777" w:rsidR="00291717" w:rsidRPr="00F80852" w:rsidRDefault="00291717" w:rsidP="00291717">
      <w:pPr>
        <w:pStyle w:val="APAReference"/>
      </w:pPr>
      <w:r w:rsidRPr="00F80852">
        <w:t xml:space="preserve">Kester, J., Beveridge, S., Flanagan, M., &amp; Stella, J. (2019). Interdisciplinary professional development needs of transition professionals serving youth with autism spectrum disorders. </w:t>
      </w:r>
      <w:r w:rsidRPr="00F80852">
        <w:rPr>
          <w:i/>
          <w:iCs/>
        </w:rPr>
        <w:t>Journal of Rehabilitation</w:t>
      </w:r>
      <w:r w:rsidRPr="00F80852">
        <w:t xml:space="preserve">, </w:t>
      </w:r>
      <w:r w:rsidRPr="00F80852">
        <w:rPr>
          <w:i/>
          <w:iCs/>
        </w:rPr>
        <w:t>85</w:t>
      </w:r>
      <w:r w:rsidRPr="00F80852">
        <w:t>(1), 53–63.</w:t>
      </w:r>
    </w:p>
    <w:p w14:paraId="485DC21C" w14:textId="77777777" w:rsidR="00291717" w:rsidRPr="00F80852" w:rsidRDefault="00291717" w:rsidP="00291717">
      <w:pPr>
        <w:pStyle w:val="APAReference"/>
      </w:pPr>
      <w:r w:rsidRPr="00F80852">
        <w:t xml:space="preserve">Kim, J. H. (2016). </w:t>
      </w:r>
      <w:r w:rsidRPr="00F80852">
        <w:rPr>
          <w:i/>
          <w:iCs/>
        </w:rPr>
        <w:t>Understanding narrative inquiry: The crafting and analysis of stories as research</w:t>
      </w:r>
      <w:r w:rsidRPr="00F80852">
        <w:t xml:space="preserve"> (1st ed.). SAGE.</w:t>
      </w:r>
    </w:p>
    <w:p w14:paraId="4FEC990B" w14:textId="77777777" w:rsidR="00291717" w:rsidRPr="00F80852" w:rsidRDefault="00291717" w:rsidP="00291717">
      <w:pPr>
        <w:pStyle w:val="APAReference"/>
      </w:pPr>
      <w:r w:rsidRPr="00F80852">
        <w:t xml:space="preserve">Lawrence, J. S. (2006). Foreword. In L. C. Rubin (Ed.), </w:t>
      </w:r>
      <w:r w:rsidRPr="00F80852">
        <w:rPr>
          <w:i/>
          <w:iCs/>
        </w:rPr>
        <w:t>Using superheroes in counseling and play therapy</w:t>
      </w:r>
      <w:r w:rsidRPr="00F80852">
        <w:t xml:space="preserve"> (pp. </w:t>
      </w:r>
      <w:r>
        <w:t>19-27</w:t>
      </w:r>
      <w:r w:rsidRPr="00F80852">
        <w:t>).</w:t>
      </w:r>
      <w:r>
        <w:t xml:space="preserve"> </w:t>
      </w:r>
      <w:r w:rsidRPr="00FB3546">
        <w:t>Springer Publishing Company.</w:t>
      </w:r>
    </w:p>
    <w:p w14:paraId="42B811EA" w14:textId="77777777" w:rsidR="00291717" w:rsidRPr="00F80852" w:rsidRDefault="00291717" w:rsidP="00291717">
      <w:pPr>
        <w:pStyle w:val="APAReference"/>
      </w:pPr>
      <w:r w:rsidRPr="00F80852">
        <w:t xml:space="preserve">Lee, H., &amp; Morningstar, M. E. (2019). Exploring predictors of community participation among young adults with severe disabilities. </w:t>
      </w:r>
      <w:r w:rsidRPr="00F80852">
        <w:rPr>
          <w:i/>
          <w:iCs/>
        </w:rPr>
        <w:t>Research and Practice for Persons with Severe Disabilities</w:t>
      </w:r>
      <w:r w:rsidRPr="00F80852">
        <w:t xml:space="preserve">, </w:t>
      </w:r>
      <w:r w:rsidRPr="00F80852">
        <w:rPr>
          <w:i/>
          <w:iCs/>
        </w:rPr>
        <w:t>44</w:t>
      </w:r>
      <w:r w:rsidRPr="00F80852">
        <w:t xml:space="preserve">(3), 186–199. </w:t>
      </w:r>
      <w:hyperlink r:id="rId27" w:history="1">
        <w:r w:rsidRPr="00F80852">
          <w:rPr>
            <w:rStyle w:val="Hyperlink"/>
            <w:color w:val="auto"/>
          </w:rPr>
          <w:t>https://doi.org/10.1177/1540796919863650</w:t>
        </w:r>
      </w:hyperlink>
      <w:r w:rsidRPr="00F80852">
        <w:t xml:space="preserve"> </w:t>
      </w:r>
    </w:p>
    <w:p w14:paraId="2A940C76" w14:textId="77777777" w:rsidR="00291717" w:rsidRPr="00F80852" w:rsidRDefault="00291717" w:rsidP="00291717">
      <w:pPr>
        <w:pStyle w:val="APAReference"/>
      </w:pPr>
      <w:proofErr w:type="spellStart"/>
      <w:r w:rsidRPr="00F80852">
        <w:t>Liasidou</w:t>
      </w:r>
      <w:proofErr w:type="spellEnd"/>
      <w:r w:rsidRPr="00F80852">
        <w:t xml:space="preserve">, A., &amp; </w:t>
      </w:r>
      <w:proofErr w:type="spellStart"/>
      <w:r w:rsidRPr="00F80852">
        <w:t>Symeou</w:t>
      </w:r>
      <w:proofErr w:type="spellEnd"/>
      <w:r w:rsidRPr="00F80852">
        <w:t xml:space="preserve">, L. (2018). Neoliberal versus social justice reforms in education policy and practice: Discourses, politics, and disability rights in education. </w:t>
      </w:r>
      <w:r w:rsidRPr="00F80852">
        <w:rPr>
          <w:i/>
          <w:iCs/>
        </w:rPr>
        <w:t>Critical Studies in Education</w:t>
      </w:r>
      <w:r w:rsidRPr="00F80852">
        <w:t xml:space="preserve">, </w:t>
      </w:r>
      <w:r w:rsidRPr="00F80852">
        <w:rPr>
          <w:i/>
          <w:iCs/>
        </w:rPr>
        <w:t>59</w:t>
      </w:r>
      <w:r w:rsidRPr="00F80852">
        <w:t xml:space="preserve">(2), 149–166. </w:t>
      </w:r>
      <w:hyperlink r:id="rId28" w:history="1">
        <w:r w:rsidRPr="00F80852">
          <w:rPr>
            <w:rStyle w:val="Hyperlink"/>
            <w:color w:val="auto"/>
          </w:rPr>
          <w:t>https://doi.org/10.1080/17508487.2016.1186102</w:t>
        </w:r>
      </w:hyperlink>
      <w:r w:rsidRPr="00F80852">
        <w:t xml:space="preserve"> </w:t>
      </w:r>
    </w:p>
    <w:p w14:paraId="0CAEC52A" w14:textId="77777777" w:rsidR="00291717" w:rsidRPr="00F80852" w:rsidRDefault="00291717" w:rsidP="00291717">
      <w:pPr>
        <w:pStyle w:val="APAReference"/>
      </w:pPr>
      <w:r w:rsidRPr="00F80852">
        <w:t xml:space="preserve">McAdams, D. P., &amp; McLean, K. C. (2013). Narrative identity. </w:t>
      </w:r>
      <w:r w:rsidRPr="00F80852">
        <w:rPr>
          <w:i/>
          <w:iCs/>
        </w:rPr>
        <w:t xml:space="preserve">Current Directions in </w:t>
      </w:r>
      <w:r w:rsidRPr="00F80852">
        <w:rPr>
          <w:i/>
          <w:iCs/>
        </w:rPr>
        <w:lastRenderedPageBreak/>
        <w:t>Psychological Science</w:t>
      </w:r>
      <w:r w:rsidRPr="00F80852">
        <w:t xml:space="preserve">, </w:t>
      </w:r>
      <w:r w:rsidRPr="00F80852">
        <w:rPr>
          <w:i/>
          <w:iCs/>
        </w:rPr>
        <w:t>22</w:t>
      </w:r>
      <w:r w:rsidRPr="00F80852">
        <w:t xml:space="preserve">(3), 233–238. </w:t>
      </w:r>
      <w:hyperlink r:id="rId29" w:history="1">
        <w:r w:rsidRPr="00F80852">
          <w:rPr>
            <w:rStyle w:val="Hyperlink"/>
            <w:color w:val="auto"/>
          </w:rPr>
          <w:t>https://doi.org/10.1177/0963721413475622</w:t>
        </w:r>
      </w:hyperlink>
    </w:p>
    <w:p w14:paraId="27CE9BE0" w14:textId="77777777" w:rsidR="00291717" w:rsidRPr="00F80852" w:rsidRDefault="00291717" w:rsidP="00291717">
      <w:pPr>
        <w:pStyle w:val="APAReference"/>
      </w:pPr>
      <w:r w:rsidRPr="00F80852">
        <w:t xml:space="preserve">McDonald, K. E., Conroy, N. E., &amp; Olick, R. S. (2016). Is it worth it? Benefits in research with adults with intellectual disability. </w:t>
      </w:r>
      <w:r w:rsidRPr="00F80852">
        <w:rPr>
          <w:i/>
          <w:iCs/>
        </w:rPr>
        <w:t>Intellectual and Developmental Disabilities</w:t>
      </w:r>
      <w:r w:rsidRPr="00F80852">
        <w:t xml:space="preserve">, </w:t>
      </w:r>
      <w:r w:rsidRPr="00F80852">
        <w:rPr>
          <w:i/>
          <w:iCs/>
        </w:rPr>
        <w:t>54</w:t>
      </w:r>
      <w:r w:rsidRPr="00F80852">
        <w:t xml:space="preserve">(6), 440–453. </w:t>
      </w:r>
      <w:hyperlink r:id="rId30" w:history="1">
        <w:r w:rsidRPr="00F80852">
          <w:rPr>
            <w:rStyle w:val="Hyperlink"/>
            <w:color w:val="auto"/>
          </w:rPr>
          <w:t>https://doi.org/10.1352/1934-9556-54.6.440</w:t>
        </w:r>
      </w:hyperlink>
      <w:r w:rsidRPr="00F80852">
        <w:t xml:space="preserve"> </w:t>
      </w:r>
    </w:p>
    <w:p w14:paraId="3C3E9C05" w14:textId="77777777" w:rsidR="00291717" w:rsidRPr="00F80852" w:rsidRDefault="00291717" w:rsidP="00291717">
      <w:pPr>
        <w:pStyle w:val="APAReference"/>
      </w:pPr>
      <w:r w:rsidRPr="00F80852">
        <w:t xml:space="preserve">Murray, M. (2003). Narrative psychology and narrative analysis. In P. M. Camic, J. E. Rhodes, &amp; L. Yardley (Eds.), </w:t>
      </w:r>
      <w:r w:rsidRPr="00F80852">
        <w:rPr>
          <w:i/>
          <w:iCs/>
        </w:rPr>
        <w:t>Qualitative research in psychology: Expanding perspectives in methodology and design</w:t>
      </w:r>
      <w:r w:rsidRPr="00F80852">
        <w:t xml:space="preserve"> (pp. 95–112). American Psychological Association.</w:t>
      </w:r>
    </w:p>
    <w:p w14:paraId="3FBD1FC8" w14:textId="10CA8872" w:rsidR="00183933" w:rsidRPr="00F80852" w:rsidRDefault="00183933" w:rsidP="00291717">
      <w:pPr>
        <w:pStyle w:val="APAReference"/>
      </w:pPr>
      <w:r>
        <w:t xml:space="preserve">Newman, L., Wagner, M., </w:t>
      </w:r>
      <w:proofErr w:type="spellStart"/>
      <w:r>
        <w:t>Knokey</w:t>
      </w:r>
      <w:proofErr w:type="spellEnd"/>
      <w:r>
        <w:t xml:space="preserve">, A.-M., Marder, C., Nagle, K., Shaver, D., Wei, X., </w:t>
      </w:r>
      <w:proofErr w:type="spellStart"/>
      <w:r>
        <w:t>Cameto</w:t>
      </w:r>
      <w:proofErr w:type="spellEnd"/>
      <w:r>
        <w:t xml:space="preserve">, R., Contreras, E., Ferguson, K., Greene, S., &amp; Schwarting, M. (2011). </w:t>
      </w:r>
      <w:r>
        <w:rPr>
          <w:rStyle w:val="Emphasis"/>
        </w:rPr>
        <w:t>The post-high school outcomes of young adults with disabilities up to 8 years after high school: A report from the National Longitudinal Transition Study-2 (NLTS2)</w:t>
      </w:r>
      <w:r>
        <w:t xml:space="preserve"> (NCSER 2011-3005). U.S. Department of Education, Institute of Education Sciences, National Center for Special Education Research. </w:t>
      </w:r>
      <w:hyperlink r:id="rId31" w:tgtFrame="_new" w:history="1">
        <w:r>
          <w:rPr>
            <w:rStyle w:val="Hyperlink"/>
          </w:rPr>
          <w:t>https://ies.ed.gov/ncser/pubs/20113005/pdf/20113005.pdf</w:t>
        </w:r>
      </w:hyperlink>
    </w:p>
    <w:p w14:paraId="5BBFAB1E" w14:textId="77777777" w:rsidR="00291717" w:rsidRPr="00F80852" w:rsidRDefault="00291717" w:rsidP="00291717">
      <w:pPr>
        <w:pStyle w:val="APAReference"/>
      </w:pPr>
      <w:proofErr w:type="spellStart"/>
      <w:r w:rsidRPr="00F80852">
        <w:t>Nind</w:t>
      </w:r>
      <w:proofErr w:type="spellEnd"/>
      <w:r w:rsidRPr="00F80852">
        <w:t xml:space="preserve">, M. (2008). </w:t>
      </w:r>
      <w:r w:rsidRPr="00F80852">
        <w:rPr>
          <w:i/>
          <w:iCs/>
        </w:rPr>
        <w:t>Conducting qualitative research with people with learning, communication and other disabilities: Methodological challenges</w:t>
      </w:r>
      <w:r w:rsidRPr="00F80852">
        <w:t>. Project Report. National Center for Research Methods.</w:t>
      </w:r>
    </w:p>
    <w:p w14:paraId="631494F5" w14:textId="77777777" w:rsidR="00291717" w:rsidRPr="00F80852" w:rsidRDefault="00291717" w:rsidP="00291717">
      <w:pPr>
        <w:pStyle w:val="APAReference"/>
      </w:pPr>
      <w:r w:rsidRPr="00F80852">
        <w:t xml:space="preserve">Oertle, K. M., &amp; O’Leary, S. (2017). The importance of career development in constructing vocational rehabilitation transition policies and practices. </w:t>
      </w:r>
      <w:r w:rsidRPr="00F80852">
        <w:rPr>
          <w:i/>
          <w:iCs/>
        </w:rPr>
        <w:t>Journal of Vocational Rehabilitation</w:t>
      </w:r>
      <w:r w:rsidRPr="00F80852">
        <w:t xml:space="preserve">, </w:t>
      </w:r>
      <w:r w:rsidRPr="00F80852">
        <w:rPr>
          <w:i/>
          <w:iCs/>
        </w:rPr>
        <w:t>46</w:t>
      </w:r>
      <w:r w:rsidRPr="00F80852">
        <w:t xml:space="preserve">(3), 407–423. </w:t>
      </w:r>
      <w:hyperlink r:id="rId32" w:history="1">
        <w:r w:rsidRPr="00F80852">
          <w:rPr>
            <w:rStyle w:val="Hyperlink"/>
            <w:color w:val="auto"/>
          </w:rPr>
          <w:t>https://doi.org/10.3233/JVR-170877</w:t>
        </w:r>
      </w:hyperlink>
      <w:r w:rsidRPr="00F80852">
        <w:t xml:space="preserve"> </w:t>
      </w:r>
    </w:p>
    <w:p w14:paraId="27A36CE6" w14:textId="77777777" w:rsidR="00291717" w:rsidRPr="00F80852" w:rsidRDefault="00291717" w:rsidP="00291717">
      <w:pPr>
        <w:pStyle w:val="APAReference"/>
      </w:pPr>
      <w:r w:rsidRPr="00F80852">
        <w:t xml:space="preserve">Oertle, K. M., Bobroff, S., &amp; Sax, C. L. (2021). Organizational policies and personnel factors that are incentives for and challenges to collaboration as identified by statewide transition supervisors. </w:t>
      </w:r>
      <w:r w:rsidRPr="00F80852">
        <w:rPr>
          <w:i/>
          <w:iCs/>
        </w:rPr>
        <w:t>Journal of Disability Policy Studies</w:t>
      </w:r>
      <w:r w:rsidRPr="00F80852">
        <w:t xml:space="preserve">, </w:t>
      </w:r>
      <w:r w:rsidRPr="00F80852">
        <w:rPr>
          <w:i/>
          <w:iCs/>
        </w:rPr>
        <w:t>32</w:t>
      </w:r>
      <w:r w:rsidRPr="00F80852">
        <w:t xml:space="preserve">(1), 36–50. </w:t>
      </w:r>
      <w:hyperlink r:id="rId33" w:history="1">
        <w:r w:rsidRPr="00F80852">
          <w:rPr>
            <w:rStyle w:val="Hyperlink"/>
            <w:color w:val="auto"/>
          </w:rPr>
          <w:t>https://doi.org/10.1177/1044207320943544</w:t>
        </w:r>
      </w:hyperlink>
    </w:p>
    <w:p w14:paraId="43956AA1" w14:textId="35CB2CBA" w:rsidR="00291717" w:rsidRPr="00C97846" w:rsidRDefault="00291717" w:rsidP="00291717">
      <w:pPr>
        <w:pStyle w:val="Bibliography"/>
        <w:rPr>
          <w:rFonts w:ascii="Times New Roman" w:hAnsi="Times New Roman" w:cs="Times New Roman"/>
          <w:sz w:val="24"/>
          <w:szCs w:val="24"/>
        </w:rPr>
      </w:pPr>
      <w:r w:rsidRPr="00C97846">
        <w:rPr>
          <w:rFonts w:ascii="Times New Roman" w:hAnsi="Times New Roman" w:cs="Times New Roman"/>
          <w:sz w:val="24"/>
          <w:szCs w:val="24"/>
        </w:rPr>
        <w:t xml:space="preserve">Office of Special Education Rehabilitation Services. (2015). </w:t>
      </w:r>
      <w:r w:rsidRPr="00C97846">
        <w:rPr>
          <w:rFonts w:ascii="Times New Roman" w:hAnsi="Times New Roman" w:cs="Times New Roman"/>
          <w:i/>
          <w:iCs/>
          <w:sz w:val="24"/>
          <w:szCs w:val="24"/>
        </w:rPr>
        <w:t xml:space="preserve">2015 OSERS transition data factsheet. </w:t>
      </w:r>
      <w:r w:rsidRPr="00C97846">
        <w:rPr>
          <w:rFonts w:ascii="Times New Roman" w:hAnsi="Times New Roman" w:cs="Times New Roman"/>
          <w:sz w:val="24"/>
          <w:szCs w:val="24"/>
        </w:rPr>
        <w:t xml:space="preserve">United States Department of Education. </w:t>
      </w:r>
      <w:hyperlink r:id="rId34" w:history="1">
        <w:r w:rsidR="00C97846" w:rsidRPr="00C97846">
          <w:rPr>
            <w:rStyle w:val="Hyperlink"/>
            <w:rFonts w:ascii="Times New Roman" w:hAnsi="Times New Roman" w:cs="Times New Roman"/>
            <w:sz w:val="24"/>
            <w:szCs w:val="24"/>
          </w:rPr>
          <w:t>https://files.eric.ed.gov/fulltext/ED565226.pdf</w:t>
        </w:r>
      </w:hyperlink>
    </w:p>
    <w:p w14:paraId="5628695F" w14:textId="77777777" w:rsidR="00291717" w:rsidRPr="00F44425" w:rsidRDefault="00291717" w:rsidP="00291717">
      <w:pPr>
        <w:pStyle w:val="Bibliography"/>
        <w:rPr>
          <w:rFonts w:ascii="Times New Roman" w:hAnsi="Times New Roman" w:cs="Times New Roman"/>
          <w:sz w:val="24"/>
          <w:szCs w:val="24"/>
        </w:rPr>
      </w:pPr>
      <w:r w:rsidRPr="00F44425">
        <w:rPr>
          <w:rFonts w:ascii="Times New Roman" w:hAnsi="Times New Roman" w:cs="Times New Roman"/>
          <w:sz w:val="24"/>
          <w:szCs w:val="24"/>
        </w:rPr>
        <w:t xml:space="preserve">Plotner, A. J., Mazzotti, V. L., Rose, C. A., &amp; Teasley, K. (2020). Perceptions of interagency collaboration: Relationships between secondary transition roles, communication, and collaboration. </w:t>
      </w:r>
      <w:r w:rsidRPr="00F44425">
        <w:rPr>
          <w:rFonts w:ascii="Times New Roman" w:hAnsi="Times New Roman" w:cs="Times New Roman"/>
          <w:i/>
          <w:iCs/>
          <w:sz w:val="24"/>
          <w:szCs w:val="24"/>
        </w:rPr>
        <w:t>Remedial and Special Education</w:t>
      </w:r>
      <w:r w:rsidRPr="00F44425">
        <w:rPr>
          <w:rFonts w:ascii="Times New Roman" w:hAnsi="Times New Roman" w:cs="Times New Roman"/>
          <w:sz w:val="24"/>
          <w:szCs w:val="24"/>
        </w:rPr>
        <w:t xml:space="preserve">, </w:t>
      </w:r>
      <w:r w:rsidRPr="00F44425">
        <w:rPr>
          <w:rFonts w:ascii="Times New Roman" w:hAnsi="Times New Roman" w:cs="Times New Roman"/>
          <w:i/>
          <w:iCs/>
          <w:sz w:val="24"/>
          <w:szCs w:val="24"/>
        </w:rPr>
        <w:t>41</w:t>
      </w:r>
      <w:r w:rsidRPr="00F44425">
        <w:rPr>
          <w:rFonts w:ascii="Times New Roman" w:hAnsi="Times New Roman" w:cs="Times New Roman"/>
          <w:sz w:val="24"/>
          <w:szCs w:val="24"/>
        </w:rPr>
        <w:t xml:space="preserve">(1), 28–39. </w:t>
      </w:r>
      <w:hyperlink r:id="rId35" w:history="1">
        <w:r w:rsidRPr="00F44425">
          <w:rPr>
            <w:rStyle w:val="Hyperlink"/>
            <w:rFonts w:ascii="Times New Roman" w:hAnsi="Times New Roman" w:cs="Times New Roman"/>
            <w:color w:val="auto"/>
            <w:sz w:val="24"/>
            <w:szCs w:val="24"/>
          </w:rPr>
          <w:t>https://doi.org/10.1177/0741932518778029</w:t>
        </w:r>
      </w:hyperlink>
      <w:r w:rsidRPr="00F44425">
        <w:rPr>
          <w:rFonts w:ascii="Times New Roman" w:hAnsi="Times New Roman" w:cs="Times New Roman"/>
          <w:sz w:val="24"/>
          <w:szCs w:val="24"/>
        </w:rPr>
        <w:t xml:space="preserve"> </w:t>
      </w:r>
    </w:p>
    <w:p w14:paraId="675F34E8" w14:textId="0F27C87F" w:rsidR="00291717" w:rsidRPr="00F80852" w:rsidRDefault="00291717" w:rsidP="00291717">
      <w:pPr>
        <w:pStyle w:val="APAReference"/>
      </w:pPr>
      <w:r w:rsidRPr="00F80852">
        <w:t xml:space="preserve">Qian, X., Johnson, D. R., Smith, F. A., &amp; Papay, C. K. (2018). Predictors associated with paid employment status of community and technical college students with intellectual disability. </w:t>
      </w:r>
      <w:r w:rsidRPr="00F80852">
        <w:rPr>
          <w:i/>
          <w:iCs/>
        </w:rPr>
        <w:t>American Journal on Intellectual and Developmental Disabilities</w:t>
      </w:r>
      <w:r w:rsidRPr="00F80852">
        <w:t xml:space="preserve">, </w:t>
      </w:r>
      <w:r w:rsidRPr="00F80852">
        <w:rPr>
          <w:i/>
          <w:iCs/>
        </w:rPr>
        <w:t>123</w:t>
      </w:r>
      <w:r w:rsidRPr="00F80852">
        <w:t xml:space="preserve">(4), 329–343. </w:t>
      </w:r>
      <w:hyperlink r:id="rId36" w:history="1">
        <w:r w:rsidRPr="00F80852">
          <w:rPr>
            <w:rStyle w:val="Hyperlink"/>
            <w:color w:val="auto"/>
          </w:rPr>
          <w:t>https://doi.org/10.1352/1944-7558-123.4.329</w:t>
        </w:r>
      </w:hyperlink>
      <w:r w:rsidRPr="00F80852">
        <w:t xml:space="preserve"> </w:t>
      </w:r>
    </w:p>
    <w:p w14:paraId="4A7D887D" w14:textId="77777777" w:rsidR="00291717" w:rsidRPr="00F80852" w:rsidRDefault="00291717" w:rsidP="00291717">
      <w:pPr>
        <w:pStyle w:val="APAReference"/>
      </w:pPr>
      <w:r w:rsidRPr="00F80852">
        <w:t xml:space="preserve">Rast, J. E., Roux, A. M., &amp; Shattuck, P. T. (2020). Use of vocational rehabilitation supports for postsecondary education among transition-age youth on the autism spectrum. </w:t>
      </w:r>
      <w:r w:rsidRPr="00F80852">
        <w:rPr>
          <w:i/>
          <w:iCs/>
        </w:rPr>
        <w:t>Journal of Autism and Developmental Disorders</w:t>
      </w:r>
      <w:r w:rsidRPr="00F80852">
        <w:t xml:space="preserve">, </w:t>
      </w:r>
      <w:r w:rsidRPr="00F80852">
        <w:rPr>
          <w:i/>
          <w:iCs/>
        </w:rPr>
        <w:t>50</w:t>
      </w:r>
      <w:r w:rsidRPr="00F80852">
        <w:t xml:space="preserve">(6), 2164–2173. </w:t>
      </w:r>
      <w:hyperlink r:id="rId37" w:history="1">
        <w:r w:rsidRPr="00F80852">
          <w:rPr>
            <w:rStyle w:val="Hyperlink"/>
            <w:color w:val="auto"/>
          </w:rPr>
          <w:t>https://doi.org/10.1007/s10803-019-03972-8</w:t>
        </w:r>
      </w:hyperlink>
      <w:r w:rsidRPr="00F80852">
        <w:t xml:space="preserve"> </w:t>
      </w:r>
    </w:p>
    <w:p w14:paraId="4CEA05F1" w14:textId="04970220" w:rsidR="00291717" w:rsidRPr="00F80852" w:rsidRDefault="00291717" w:rsidP="00291717">
      <w:pPr>
        <w:pStyle w:val="APAReference"/>
      </w:pPr>
      <w:r w:rsidRPr="00F80852">
        <w:t xml:space="preserve">Rosenbaum, P., &amp; Gorter, J. W. (2012). The ‘F-words’ in childhood disability: I swear this is how we should think! </w:t>
      </w:r>
      <w:r w:rsidRPr="00F80852">
        <w:rPr>
          <w:i/>
          <w:iCs/>
        </w:rPr>
        <w:t>Child: Care, Health and Development</w:t>
      </w:r>
      <w:r w:rsidRPr="00F80852">
        <w:t xml:space="preserve">, </w:t>
      </w:r>
      <w:r w:rsidRPr="00F80852">
        <w:rPr>
          <w:i/>
          <w:iCs/>
        </w:rPr>
        <w:t>38</w:t>
      </w:r>
      <w:r w:rsidRPr="00F80852">
        <w:t xml:space="preserve">(4), 457–463. </w:t>
      </w:r>
      <w:hyperlink r:id="rId38" w:history="1">
        <w:r w:rsidRPr="00F80852">
          <w:rPr>
            <w:rStyle w:val="Hyperlink"/>
            <w:color w:val="auto"/>
          </w:rPr>
          <w:t>https://doi.org/10.1111/j.1365-2214.2011.01338.x</w:t>
        </w:r>
      </w:hyperlink>
      <w:r w:rsidRPr="00F80852">
        <w:t xml:space="preserve"> </w:t>
      </w:r>
    </w:p>
    <w:p w14:paraId="48F2C2EB" w14:textId="77777777" w:rsidR="00291717" w:rsidRPr="00F80852" w:rsidRDefault="00291717" w:rsidP="00291717">
      <w:pPr>
        <w:pStyle w:val="APAReference"/>
      </w:pPr>
      <w:r w:rsidRPr="00F80852">
        <w:t xml:space="preserve">Sandahl, C. (2018). Disability art and culture: A model for imaginative ways to integrate the community. </w:t>
      </w:r>
      <w:r w:rsidRPr="00F80852">
        <w:rPr>
          <w:i/>
          <w:iCs/>
        </w:rPr>
        <w:t>Alter</w:t>
      </w:r>
      <w:r w:rsidRPr="00F80852">
        <w:t xml:space="preserve">, </w:t>
      </w:r>
      <w:r w:rsidRPr="00F80852">
        <w:rPr>
          <w:i/>
          <w:iCs/>
        </w:rPr>
        <w:t>12</w:t>
      </w:r>
      <w:r w:rsidRPr="00F80852">
        <w:t xml:space="preserve">(2), 79–93. </w:t>
      </w:r>
      <w:hyperlink r:id="rId39" w:history="1">
        <w:r w:rsidRPr="00F80852">
          <w:rPr>
            <w:rStyle w:val="Hyperlink"/>
            <w:color w:val="auto"/>
          </w:rPr>
          <w:t>https://doi.org/10.1016/j.alter.2018.04.004</w:t>
        </w:r>
      </w:hyperlink>
      <w:r w:rsidRPr="00F80852">
        <w:t xml:space="preserve"> </w:t>
      </w:r>
    </w:p>
    <w:p w14:paraId="242C9F71" w14:textId="77777777" w:rsidR="00291717" w:rsidRPr="00F80852" w:rsidRDefault="00291717" w:rsidP="00291717">
      <w:pPr>
        <w:pStyle w:val="APAReference"/>
      </w:pPr>
      <w:r w:rsidRPr="00F80852">
        <w:t xml:space="preserve">Sannicandro, T., Parish, S. L., Fournier, S., Mitra, M., &amp; </w:t>
      </w:r>
      <w:proofErr w:type="spellStart"/>
      <w:r w:rsidRPr="00F80852">
        <w:t>Paiewonsky</w:t>
      </w:r>
      <w:proofErr w:type="spellEnd"/>
      <w:r w:rsidRPr="00F80852">
        <w:t xml:space="preserve">, M. (2018). Employment, income, and SSI effects of postsecondary education for people with intellectual disability. </w:t>
      </w:r>
      <w:r w:rsidRPr="00F80852">
        <w:rPr>
          <w:i/>
          <w:iCs/>
        </w:rPr>
        <w:t xml:space="preserve">American Journal on Intellectual and Developmental </w:t>
      </w:r>
      <w:r w:rsidRPr="00F80852">
        <w:rPr>
          <w:i/>
          <w:iCs/>
        </w:rPr>
        <w:lastRenderedPageBreak/>
        <w:t>Disabilities</w:t>
      </w:r>
      <w:r w:rsidRPr="00F80852">
        <w:t xml:space="preserve">, </w:t>
      </w:r>
      <w:r w:rsidRPr="00F80852">
        <w:rPr>
          <w:i/>
          <w:iCs/>
        </w:rPr>
        <w:t>123</w:t>
      </w:r>
      <w:r w:rsidRPr="00F80852">
        <w:t xml:space="preserve">(5), 412–425. </w:t>
      </w:r>
      <w:hyperlink r:id="rId40" w:history="1">
        <w:r w:rsidRPr="00F80852">
          <w:rPr>
            <w:rStyle w:val="Hyperlink"/>
            <w:color w:val="auto"/>
          </w:rPr>
          <w:t>https://doi.org/10.1352/1944-7558-123.5.412</w:t>
        </w:r>
      </w:hyperlink>
      <w:r w:rsidRPr="00F80852">
        <w:t xml:space="preserve"> </w:t>
      </w:r>
    </w:p>
    <w:p w14:paraId="5EED855F" w14:textId="77777777" w:rsidR="00291717" w:rsidRPr="00F80852" w:rsidRDefault="00291717" w:rsidP="00291717">
      <w:pPr>
        <w:pStyle w:val="APAReference"/>
      </w:pPr>
      <w:r w:rsidRPr="00F80852">
        <w:t xml:space="preserve">Shogren, K. A., Wehmeyer, M. L., Shaw, L. A., </w:t>
      </w:r>
      <w:proofErr w:type="spellStart"/>
      <w:r w:rsidRPr="00F80852">
        <w:t>Grigal</w:t>
      </w:r>
      <w:proofErr w:type="spellEnd"/>
      <w:r w:rsidRPr="00F80852">
        <w:t xml:space="preserve">, M., Hart, D., Smith, F. A., &amp; Khamsi, S. (2018). Predictors of self-determination in postsecondary education for students with intellectual and developmental disabilities. </w:t>
      </w:r>
      <w:r w:rsidRPr="00F80852">
        <w:rPr>
          <w:i/>
          <w:iCs/>
        </w:rPr>
        <w:t>Education and Training in Autism and Developmental Disabilities</w:t>
      </w:r>
      <w:r w:rsidRPr="00F80852">
        <w:t xml:space="preserve">, </w:t>
      </w:r>
      <w:r w:rsidRPr="00F80852">
        <w:rPr>
          <w:i/>
          <w:iCs/>
        </w:rPr>
        <w:t>53</w:t>
      </w:r>
      <w:r w:rsidRPr="00F80852">
        <w:t>(2), 146–159.</w:t>
      </w:r>
    </w:p>
    <w:p w14:paraId="592266C0" w14:textId="77777777" w:rsidR="00291717" w:rsidRPr="00F80852" w:rsidRDefault="00291717" w:rsidP="00291717">
      <w:pPr>
        <w:pStyle w:val="APAReference"/>
      </w:pPr>
      <w:proofErr w:type="spellStart"/>
      <w:r w:rsidRPr="00F80852">
        <w:t>Sigstad</w:t>
      </w:r>
      <w:proofErr w:type="spellEnd"/>
      <w:r w:rsidRPr="00F80852">
        <w:t xml:space="preserve">, H. M. H., &amp; Garrels, V. (2017). Facilitating qualitative research interviews for respondents with intellectual disability. </w:t>
      </w:r>
      <w:r w:rsidRPr="00F80852">
        <w:rPr>
          <w:i/>
          <w:iCs/>
        </w:rPr>
        <w:t>European Journal of Special Needs Education</w:t>
      </w:r>
      <w:r w:rsidRPr="00F80852">
        <w:t xml:space="preserve">, </w:t>
      </w:r>
      <w:r w:rsidRPr="00F80852">
        <w:rPr>
          <w:i/>
          <w:iCs/>
        </w:rPr>
        <w:t>33</w:t>
      </w:r>
      <w:r w:rsidRPr="00F80852">
        <w:t xml:space="preserve">(15), 691–706. </w:t>
      </w:r>
      <w:hyperlink r:id="rId41" w:history="1">
        <w:r w:rsidRPr="00F80852">
          <w:rPr>
            <w:rStyle w:val="Hyperlink"/>
            <w:color w:val="auto"/>
          </w:rPr>
          <w:t>https://doi.org/10.1080/08856257.2017.1413802</w:t>
        </w:r>
      </w:hyperlink>
      <w:r w:rsidRPr="00F80852">
        <w:t xml:space="preserve"> </w:t>
      </w:r>
    </w:p>
    <w:p w14:paraId="17CCBA68" w14:textId="77777777" w:rsidR="00291717" w:rsidRPr="00F80852" w:rsidRDefault="00291717" w:rsidP="00291717">
      <w:pPr>
        <w:pStyle w:val="APAReference"/>
      </w:pPr>
      <w:r w:rsidRPr="00F80852">
        <w:t xml:space="preserve">Smith-Chandler, N., &amp; Swart, E. (2014). In their own voices: Methodological considerations on narrative disability research. </w:t>
      </w:r>
      <w:r w:rsidRPr="00F80852">
        <w:rPr>
          <w:i/>
          <w:iCs/>
        </w:rPr>
        <w:t>Qualitative Health Research</w:t>
      </w:r>
      <w:r w:rsidRPr="00F80852">
        <w:t xml:space="preserve">, </w:t>
      </w:r>
      <w:r w:rsidRPr="00F80852">
        <w:rPr>
          <w:i/>
          <w:iCs/>
        </w:rPr>
        <w:t>24</w:t>
      </w:r>
      <w:r w:rsidRPr="00F80852">
        <w:t xml:space="preserve">(3), 420–430. </w:t>
      </w:r>
      <w:hyperlink r:id="rId42" w:history="1">
        <w:r w:rsidRPr="00F80852">
          <w:rPr>
            <w:rStyle w:val="Hyperlink"/>
            <w:color w:val="auto"/>
          </w:rPr>
          <w:t>https://doi.org/10.1177/1049732314523841</w:t>
        </w:r>
      </w:hyperlink>
      <w:r w:rsidRPr="00F80852">
        <w:t xml:space="preserve"> </w:t>
      </w:r>
    </w:p>
    <w:p w14:paraId="2417D56A" w14:textId="77777777" w:rsidR="00291717" w:rsidRPr="00F80852" w:rsidRDefault="00291717" w:rsidP="00291717">
      <w:pPr>
        <w:pStyle w:val="APAReference"/>
      </w:pPr>
      <w:r w:rsidRPr="00F80852">
        <w:t xml:space="preserve">St. Pierre, J. (2015). </w:t>
      </w:r>
      <w:proofErr w:type="spellStart"/>
      <w:r w:rsidRPr="00F80852">
        <w:t>Cripping</w:t>
      </w:r>
      <w:proofErr w:type="spellEnd"/>
      <w:r w:rsidRPr="00F80852">
        <w:t xml:space="preserve"> communication: Speech, disability, and exclusion in liberal humanist and </w:t>
      </w:r>
      <w:proofErr w:type="spellStart"/>
      <w:r w:rsidRPr="00F80852">
        <w:t>posthumanist</w:t>
      </w:r>
      <w:proofErr w:type="spellEnd"/>
      <w:r w:rsidRPr="00F80852">
        <w:t xml:space="preserve"> discourse. </w:t>
      </w:r>
      <w:r w:rsidRPr="00F80852">
        <w:rPr>
          <w:i/>
          <w:iCs/>
        </w:rPr>
        <w:t>Communication Theory</w:t>
      </w:r>
      <w:r w:rsidRPr="00F80852">
        <w:t xml:space="preserve">, </w:t>
      </w:r>
      <w:r w:rsidRPr="00F80852">
        <w:rPr>
          <w:i/>
          <w:iCs/>
        </w:rPr>
        <w:t>25</w:t>
      </w:r>
      <w:r w:rsidRPr="00F80852">
        <w:t xml:space="preserve">(3), 330–348. </w:t>
      </w:r>
      <w:hyperlink r:id="rId43" w:history="1">
        <w:r w:rsidRPr="00F80852">
          <w:rPr>
            <w:rStyle w:val="Hyperlink"/>
            <w:color w:val="auto"/>
          </w:rPr>
          <w:t>https://doi.org/10.1111/comt.12054</w:t>
        </w:r>
      </w:hyperlink>
      <w:r w:rsidRPr="00F80852">
        <w:t xml:space="preserve"> </w:t>
      </w:r>
    </w:p>
    <w:p w14:paraId="41630EBC" w14:textId="77777777" w:rsidR="00291717" w:rsidRPr="00F80852" w:rsidRDefault="00291717" w:rsidP="00291717">
      <w:pPr>
        <w:pStyle w:val="APAReference"/>
      </w:pPr>
      <w:r w:rsidRPr="00F80852">
        <w:t xml:space="preserve">Stein, K. F., Connors, E. H., Chambers, K. L., Thomas, C. L., &amp; Stephan, S. H. (2016). Youth, caregiver, and staff perspectives on an initiative to promote success of emerging adults with emotional and behavioral disabilities. </w:t>
      </w:r>
      <w:r w:rsidRPr="00F80852">
        <w:rPr>
          <w:i/>
          <w:iCs/>
        </w:rPr>
        <w:t>The Journal of Behavioral Health Services &amp; Research</w:t>
      </w:r>
      <w:r w:rsidRPr="00F80852">
        <w:t xml:space="preserve">, </w:t>
      </w:r>
      <w:r w:rsidRPr="00F80852">
        <w:rPr>
          <w:i/>
          <w:iCs/>
        </w:rPr>
        <w:t>43</w:t>
      </w:r>
      <w:r w:rsidRPr="00F80852">
        <w:t xml:space="preserve">(4), 582–596. </w:t>
      </w:r>
      <w:hyperlink r:id="rId44" w:history="1">
        <w:r w:rsidRPr="00F80852">
          <w:rPr>
            <w:rStyle w:val="Hyperlink"/>
            <w:color w:val="auto"/>
          </w:rPr>
          <w:t>https://doi.org/10.1007/s11414-014-9426-7</w:t>
        </w:r>
      </w:hyperlink>
      <w:r w:rsidRPr="00F80852">
        <w:t xml:space="preserve"> </w:t>
      </w:r>
    </w:p>
    <w:p w14:paraId="10392A3A" w14:textId="77777777" w:rsidR="00291717" w:rsidRDefault="00291717" w:rsidP="00291717">
      <w:pPr>
        <w:pStyle w:val="APAReference"/>
        <w:rPr>
          <w:color w:val="000000"/>
        </w:rPr>
      </w:pPr>
      <w:r w:rsidRPr="00A325C4">
        <w:rPr>
          <w:color w:val="000000"/>
        </w:rPr>
        <w:t xml:space="preserve">Taylor-Roberts, L., Strohmaier, S., Jones, F., &amp; Baker, P. (2019). A systematic review of community participation measures for people with intellectual disabilities. </w:t>
      </w:r>
      <w:r w:rsidRPr="00A325C4">
        <w:rPr>
          <w:i/>
          <w:iCs/>
          <w:color w:val="000000"/>
        </w:rPr>
        <w:t>Journal of Applied Research in Intellectual Disabilities</w:t>
      </w:r>
      <w:r w:rsidRPr="00A325C4">
        <w:rPr>
          <w:color w:val="000000"/>
        </w:rPr>
        <w:t xml:space="preserve">, </w:t>
      </w:r>
      <w:r w:rsidRPr="00A325C4">
        <w:rPr>
          <w:i/>
          <w:iCs/>
          <w:color w:val="000000"/>
        </w:rPr>
        <w:t>32</w:t>
      </w:r>
      <w:r w:rsidRPr="00A325C4">
        <w:rPr>
          <w:color w:val="000000"/>
        </w:rPr>
        <w:t xml:space="preserve">(3), 706–718. </w:t>
      </w:r>
      <w:hyperlink r:id="rId45" w:history="1">
        <w:r w:rsidRPr="00655FAE">
          <w:rPr>
            <w:rStyle w:val="Hyperlink"/>
          </w:rPr>
          <w:t>https://doi.org/10.1111/jar.12565</w:t>
        </w:r>
      </w:hyperlink>
    </w:p>
    <w:p w14:paraId="7C15A412" w14:textId="77777777" w:rsidR="00291717" w:rsidRPr="007215B9" w:rsidRDefault="00291717" w:rsidP="00291717">
      <w:pPr>
        <w:pStyle w:val="APAReference"/>
      </w:pPr>
      <w:r w:rsidRPr="007215B9">
        <w:rPr>
          <w:color w:val="000000"/>
        </w:rPr>
        <w:t xml:space="preserve">Tint, A., Maughan, A. L., &amp; Weiss, J. A. (2017). Community participation of youth with </w:t>
      </w:r>
      <w:r w:rsidRPr="007215B9">
        <w:rPr>
          <w:color w:val="000000"/>
        </w:rPr>
        <w:lastRenderedPageBreak/>
        <w:t xml:space="preserve">intellectual disability and autism spectrum disorder. </w:t>
      </w:r>
      <w:r w:rsidRPr="007215B9">
        <w:rPr>
          <w:i/>
          <w:iCs/>
          <w:color w:val="000000"/>
        </w:rPr>
        <w:t>Journal of Intellectual Disability Research</w:t>
      </w:r>
      <w:r w:rsidRPr="007215B9">
        <w:rPr>
          <w:color w:val="000000"/>
        </w:rPr>
        <w:t xml:space="preserve">, </w:t>
      </w:r>
      <w:r w:rsidRPr="007215B9">
        <w:rPr>
          <w:i/>
          <w:iCs/>
          <w:color w:val="000000"/>
        </w:rPr>
        <w:t>61</w:t>
      </w:r>
      <w:r w:rsidRPr="007215B9">
        <w:rPr>
          <w:color w:val="000000"/>
        </w:rPr>
        <w:t xml:space="preserve">(2), 168–180. </w:t>
      </w:r>
      <w:hyperlink r:id="rId46" w:history="1">
        <w:r w:rsidRPr="007215B9">
          <w:rPr>
            <w:rStyle w:val="Hyperlink"/>
          </w:rPr>
          <w:t>https://doi.org/10.1111/jir.12311</w:t>
        </w:r>
      </w:hyperlink>
    </w:p>
    <w:p w14:paraId="65443ECC" w14:textId="2CF427A2" w:rsidR="00291717" w:rsidRDefault="00291717" w:rsidP="00291717">
      <w:pPr>
        <w:pStyle w:val="APAReference"/>
      </w:pPr>
      <w:r w:rsidRPr="00F80852">
        <w:t>United States Department of Education</w:t>
      </w:r>
      <w:r w:rsidR="00A76232">
        <w:t>.</w:t>
      </w:r>
      <w:r w:rsidRPr="00F80852">
        <w:t xml:space="preserve"> (</w:t>
      </w:r>
      <w:r>
        <w:t>2023</w:t>
      </w:r>
      <w:r w:rsidRPr="00F80852">
        <w:t>)</w:t>
      </w:r>
      <w:r w:rsidR="00A76232">
        <w:t>.</w:t>
      </w:r>
      <w:r w:rsidRPr="00F80852">
        <w:t xml:space="preserve"> </w:t>
      </w:r>
      <w:r>
        <w:rPr>
          <w:i/>
          <w:iCs/>
        </w:rPr>
        <w:t>A history of the Individuals with Disabilit</w:t>
      </w:r>
      <w:r w:rsidR="00A76232">
        <w:rPr>
          <w:i/>
          <w:iCs/>
        </w:rPr>
        <w:t xml:space="preserve">ies </w:t>
      </w:r>
      <w:r>
        <w:rPr>
          <w:i/>
          <w:iCs/>
        </w:rPr>
        <w:t>Education Act</w:t>
      </w:r>
      <w:r w:rsidRPr="00F80852">
        <w:t xml:space="preserve">. </w:t>
      </w:r>
      <w:hyperlink r:id="rId47" w:anchor="1980s-90s" w:history="1">
        <w:r>
          <w:rPr>
            <w:rStyle w:val="Hyperlink"/>
          </w:rPr>
          <w:t>https://sites.ed.gov/idea/IDEA-History#1980s-90s</w:t>
        </w:r>
      </w:hyperlink>
    </w:p>
    <w:p w14:paraId="062A067C" w14:textId="77777777" w:rsidR="00291717" w:rsidRPr="00F80852" w:rsidRDefault="00291717" w:rsidP="00291717">
      <w:pPr>
        <w:pStyle w:val="APAReference"/>
      </w:pPr>
      <w:proofErr w:type="spellStart"/>
      <w:r w:rsidRPr="00F80852">
        <w:t>Wilczenski</w:t>
      </w:r>
      <w:proofErr w:type="spellEnd"/>
      <w:r w:rsidRPr="00F80852">
        <w:t xml:space="preserve">, F. L., Cook, A. L., &amp; Regal, C. P. (2017). Rethinking college: Roles for school psychologists in transition planning for students with intellectual disability. </w:t>
      </w:r>
      <w:r w:rsidRPr="00F80852">
        <w:rPr>
          <w:i/>
          <w:iCs/>
        </w:rPr>
        <w:t>Contemporary School Psychology</w:t>
      </w:r>
      <w:r w:rsidRPr="00F80852">
        <w:t xml:space="preserve">, </w:t>
      </w:r>
      <w:r w:rsidRPr="00F80852">
        <w:rPr>
          <w:i/>
          <w:iCs/>
        </w:rPr>
        <w:t>21</w:t>
      </w:r>
      <w:r w:rsidRPr="00F80852">
        <w:t xml:space="preserve">(1), 71–79. </w:t>
      </w:r>
      <w:hyperlink r:id="rId48" w:history="1">
        <w:r w:rsidRPr="00F80852">
          <w:rPr>
            <w:rStyle w:val="Hyperlink"/>
            <w:color w:val="auto"/>
          </w:rPr>
          <w:t>https://doi.org/10.1007/s40688-016-0112-z</w:t>
        </w:r>
      </w:hyperlink>
      <w:r w:rsidRPr="00F80852">
        <w:t xml:space="preserve"> </w:t>
      </w:r>
    </w:p>
    <w:bookmarkEnd w:id="34"/>
    <w:p w14:paraId="72B04FD1" w14:textId="15476584" w:rsidR="00682F63" w:rsidRPr="00791FDF" w:rsidRDefault="00682F63" w:rsidP="00291717">
      <w:pPr>
        <w:spacing w:line="480" w:lineRule="auto"/>
        <w:rPr>
          <w:b/>
          <w:bCs/>
        </w:rPr>
      </w:pPr>
    </w:p>
    <w:p w14:paraId="2D7A6259" w14:textId="77777777" w:rsidR="00B56745" w:rsidRPr="00791FDF" w:rsidRDefault="00B56745" w:rsidP="00791FDF">
      <w:pPr>
        <w:spacing w:line="480" w:lineRule="auto"/>
        <w:rPr>
          <w:b/>
          <w:bCs/>
        </w:rPr>
      </w:pPr>
    </w:p>
    <w:p w14:paraId="7FCC7DD5" w14:textId="77777777" w:rsidR="00B56745" w:rsidRPr="00791FDF" w:rsidRDefault="00B56745" w:rsidP="00791FDF">
      <w:pPr>
        <w:spacing w:line="480" w:lineRule="auto"/>
        <w:rPr>
          <w:b/>
          <w:bCs/>
        </w:rPr>
      </w:pPr>
    </w:p>
    <w:p w14:paraId="21023669" w14:textId="77777777" w:rsidR="00B56745" w:rsidRPr="00791FDF" w:rsidRDefault="00B56745" w:rsidP="00791FDF">
      <w:pPr>
        <w:spacing w:line="480" w:lineRule="auto"/>
        <w:rPr>
          <w:b/>
          <w:bCs/>
        </w:rPr>
      </w:pPr>
    </w:p>
    <w:p w14:paraId="05C684D5" w14:textId="77777777" w:rsidR="00B56745" w:rsidRPr="00791FDF" w:rsidRDefault="00B56745" w:rsidP="00791FDF">
      <w:pPr>
        <w:spacing w:line="480" w:lineRule="auto"/>
        <w:rPr>
          <w:b/>
          <w:bCs/>
        </w:rPr>
      </w:pPr>
    </w:p>
    <w:p w14:paraId="2C8ABFDB" w14:textId="77777777" w:rsidR="00B56745" w:rsidRDefault="00B56745" w:rsidP="00791FDF">
      <w:pPr>
        <w:spacing w:line="480" w:lineRule="auto"/>
        <w:rPr>
          <w:b/>
          <w:bCs/>
        </w:rPr>
      </w:pPr>
    </w:p>
    <w:p w14:paraId="1E1F3514" w14:textId="77777777" w:rsidR="00B06817" w:rsidRPr="00791FDF" w:rsidRDefault="00B06817" w:rsidP="00791FDF">
      <w:pPr>
        <w:spacing w:line="480" w:lineRule="auto"/>
        <w:rPr>
          <w:b/>
          <w:bCs/>
        </w:rPr>
      </w:pPr>
    </w:p>
    <w:p w14:paraId="61283CCC" w14:textId="77777777" w:rsidR="00B0002D" w:rsidRDefault="00B0002D" w:rsidP="00220C2B">
      <w:pPr>
        <w:spacing w:line="480" w:lineRule="auto"/>
        <w:ind w:firstLine="0"/>
        <w:rPr>
          <w:b/>
          <w:bCs/>
          <w:color w:val="000000" w:themeColor="text1"/>
        </w:rPr>
      </w:pPr>
    </w:p>
    <w:bookmarkEnd w:id="1"/>
    <w:bookmarkEnd w:id="2"/>
    <w:bookmarkEnd w:id="3"/>
    <w:p w14:paraId="75D2C8B5" w14:textId="77777777" w:rsidR="00425B93" w:rsidRPr="00791FDF" w:rsidRDefault="00425B93" w:rsidP="00425B93">
      <w:pPr>
        <w:spacing w:line="480" w:lineRule="auto"/>
        <w:ind w:firstLine="0"/>
      </w:pPr>
    </w:p>
    <w:p w14:paraId="49B13D68" w14:textId="69287F81" w:rsidR="00A537CB" w:rsidRPr="00B06817" w:rsidRDefault="00DC0B97" w:rsidP="00B06817">
      <w:pPr>
        <w:pStyle w:val="APALevel0"/>
        <w:spacing w:line="240" w:lineRule="auto"/>
        <w:jc w:val="left"/>
        <w:rPr>
          <w:b/>
          <w:bCs/>
        </w:rPr>
      </w:pPr>
      <w:r w:rsidRPr="00791FDF">
        <w:rPr>
          <w:color w:val="000000"/>
          <w:bdr w:val="none" w:sz="0" w:space="0" w:color="auto" w:frame="1"/>
        </w:rPr>
        <w:fldChar w:fldCharType="begin"/>
      </w:r>
      <w:r w:rsidRPr="00791FDF">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sidRPr="00791FDF">
        <w:rPr>
          <w:color w:val="000000"/>
          <w:bdr w:val="none" w:sz="0" w:space="0" w:color="auto" w:frame="1"/>
        </w:rPr>
        <w:fldChar w:fldCharType="separate"/>
      </w:r>
      <w:r w:rsidRPr="00791FDF">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sidRPr="00791FDF">
        <w:rPr>
          <w:color w:val="000000"/>
          <w:bdr w:val="none" w:sz="0" w:space="0" w:color="auto" w:frame="1"/>
        </w:rPr>
        <w:fldChar w:fldCharType="end"/>
      </w:r>
      <w:r w:rsidRPr="00791FDF">
        <w:rPr>
          <w:color w:val="000000"/>
        </w:rPr>
        <w:t xml:space="preserve"> </w:t>
      </w:r>
      <w:r w:rsidR="00B06817" w:rsidRPr="00B67833">
        <w:rPr>
          <w:b/>
          <w:bCs/>
        </w:rPr>
        <w:t>My Life, My Words: Postsecondary Transition Outcomes for Young Adults with Intellectual &amp; Developmental Disabilities</w:t>
      </w:r>
      <w:r w:rsidR="00B06817">
        <w:rPr>
          <w:b/>
          <w:bCs/>
        </w:rPr>
        <w:t xml:space="preserve"> </w:t>
      </w:r>
      <w:r w:rsidR="00B802B0" w:rsidRPr="00425B93">
        <w:rPr>
          <w:color w:val="000000"/>
          <w:kern w:val="36"/>
        </w:rPr>
        <w:t>b</w:t>
      </w:r>
      <w:r w:rsidR="00E42E44" w:rsidRPr="00425B93">
        <w:rPr>
          <w:color w:val="000000"/>
          <w:kern w:val="36"/>
        </w:rPr>
        <w:t>y</w:t>
      </w:r>
      <w:r w:rsidR="005D7C63" w:rsidRPr="00425B93">
        <w:rPr>
          <w:color w:val="000000"/>
          <w:kern w:val="36"/>
        </w:rPr>
        <w:t xml:space="preserve"> </w:t>
      </w:r>
      <w:r w:rsidR="00B06817">
        <w:rPr>
          <w:rFonts w:eastAsia="Calibri"/>
        </w:rPr>
        <w:t xml:space="preserve">Eric Sarrett. </w:t>
      </w:r>
      <w:hyperlink r:id="rId50" w:history="1">
        <w:r w:rsidR="00EA312C">
          <w:rPr>
            <w:rStyle w:val="Hyperlink"/>
          </w:rPr>
          <w:t>https://rdsjournal.org/index.php/journal/article/view/1285</w:t>
        </w:r>
      </w:hyperlink>
      <w:r w:rsidR="00B06817">
        <w:t xml:space="preserve"> </w:t>
      </w:r>
      <w:r w:rsidRPr="00425B93">
        <w:rPr>
          <w:color w:val="000000"/>
        </w:rPr>
        <w:t>is licensed under a</w:t>
      </w:r>
      <w:hyperlink r:id="rId51" w:history="1">
        <w:r w:rsidRPr="00425B93">
          <w:rPr>
            <w:rStyle w:val="Hyperlink"/>
            <w:color w:val="000000"/>
          </w:rPr>
          <w:t xml:space="preserve"> </w:t>
        </w:r>
        <w:r w:rsidRPr="00425B93">
          <w:rPr>
            <w:rStyle w:val="Hyperlink"/>
            <w:color w:val="1155CC"/>
          </w:rPr>
          <w:t>Creative Commons Attribution 4.0 International License</w:t>
        </w:r>
      </w:hyperlink>
      <w:r w:rsidR="005D7C63" w:rsidRPr="00425B93">
        <w:rPr>
          <w:color w:val="000000"/>
        </w:rPr>
        <w:t xml:space="preserve"> b</w:t>
      </w:r>
      <w:r w:rsidRPr="00425B93">
        <w:rPr>
          <w:color w:val="000000"/>
        </w:rPr>
        <w:t>ased on a wor</w:t>
      </w:r>
      <w:r w:rsidR="005D7C63" w:rsidRPr="00425B93">
        <w:rPr>
          <w:color w:val="000000"/>
        </w:rPr>
        <w:t xml:space="preserve">k </w:t>
      </w:r>
      <w:r w:rsidRPr="00425B93">
        <w:rPr>
          <w:color w:val="000000"/>
        </w:rPr>
        <w:t>at</w:t>
      </w:r>
      <w:r w:rsidR="005D7C63" w:rsidRPr="00425B93">
        <w:rPr>
          <w:color w:val="000000"/>
        </w:rPr>
        <w:t xml:space="preserve"> </w:t>
      </w:r>
      <w:hyperlink r:id="rId52" w:history="1">
        <w:r w:rsidR="005D7C63" w:rsidRPr="00425B93">
          <w:rPr>
            <w:rStyle w:val="Hyperlink"/>
          </w:rPr>
          <w:t>https://rdsjournal.org</w:t>
        </w:r>
      </w:hyperlink>
      <w:r w:rsidRPr="00425B93">
        <w:rPr>
          <w:color w:val="000000"/>
        </w:rPr>
        <w:t>.</w:t>
      </w:r>
    </w:p>
    <w:sectPr w:rsidR="00A537CB" w:rsidRPr="00B0681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2A0A8" w14:textId="77777777" w:rsidR="00DA53F4" w:rsidRDefault="00DA53F4">
      <w:pPr>
        <w:spacing w:after="0" w:line="240" w:lineRule="auto"/>
      </w:pPr>
      <w:r>
        <w:separator/>
      </w:r>
    </w:p>
  </w:endnote>
  <w:endnote w:type="continuationSeparator" w:id="0">
    <w:p w14:paraId="328629C8" w14:textId="77777777" w:rsidR="00DA53F4" w:rsidRDefault="00DA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roman"/>
    <w:pitch w:val="variable"/>
    <w:sig w:usb0="00000003" w:usb1="00000000" w:usb2="00000000" w:usb3="00000000" w:csb0="00000001"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E5276" w14:textId="77777777" w:rsidR="00DA53F4" w:rsidRDefault="00DA53F4">
      <w:pPr>
        <w:spacing w:after="0" w:line="240" w:lineRule="auto"/>
      </w:pPr>
      <w:r>
        <w:separator/>
      </w:r>
    </w:p>
  </w:footnote>
  <w:footnote w:type="continuationSeparator" w:id="0">
    <w:p w14:paraId="75894D6A" w14:textId="77777777" w:rsidR="00DA53F4" w:rsidRDefault="00DA5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1774" w:type="dxa"/>
      <w:jc w:val="center"/>
      <w:tblLayout w:type="fixed"/>
      <w:tblLook w:val="0400" w:firstRow="0" w:lastRow="0" w:firstColumn="0" w:lastColumn="0" w:noHBand="0" w:noVBand="1"/>
    </w:tblPr>
    <w:tblGrid>
      <w:gridCol w:w="9313"/>
      <w:gridCol w:w="2461"/>
    </w:tblGrid>
    <w:tr w:rsidR="000B2028" w14:paraId="7BB7A8C3" w14:textId="77777777" w:rsidTr="00E96F3D">
      <w:trPr>
        <w:trHeight w:val="1274"/>
        <w:jc w:val="center"/>
      </w:trPr>
      <w:tc>
        <w:tcPr>
          <w:tcW w:w="9313"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461" w:type="dxa"/>
          <w:shd w:val="clear" w:color="auto" w:fill="000000"/>
          <w:vAlign w:val="center"/>
        </w:tcPr>
        <w:p w14:paraId="34C33B07" w14:textId="77777777" w:rsid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w:t>
          </w:r>
          <w:r w:rsidR="00B56745">
            <w:rPr>
              <w:rFonts w:ascii="Arial" w:eastAsia="Arial" w:hAnsi="Arial" w:cs="Arial"/>
              <w:b/>
              <w:color w:val="FFFFFF"/>
              <w:sz w:val="22"/>
              <w:szCs w:val="22"/>
            </w:rPr>
            <w:t>2</w:t>
          </w:r>
        </w:p>
        <w:p w14:paraId="08E2B147" w14:textId="00C97A37" w:rsidR="00655CCB" w:rsidRP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(202</w:t>
          </w:r>
          <w:r w:rsidR="00B5674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215B7"/>
    <w:multiLevelType w:val="hybridMultilevel"/>
    <w:tmpl w:val="8138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9" w15:restartNumberingAfterBreak="0">
    <w:nsid w:val="252361ED"/>
    <w:multiLevelType w:val="hybridMultilevel"/>
    <w:tmpl w:val="2F7AB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E3F9B"/>
    <w:multiLevelType w:val="hybridMultilevel"/>
    <w:tmpl w:val="E2D4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25090"/>
    <w:multiLevelType w:val="hybridMultilevel"/>
    <w:tmpl w:val="B3C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E6EC2"/>
    <w:multiLevelType w:val="hybridMultilevel"/>
    <w:tmpl w:val="A6D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2040"/>
    <w:multiLevelType w:val="hybridMultilevel"/>
    <w:tmpl w:val="CB1C6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6367A4"/>
    <w:multiLevelType w:val="hybridMultilevel"/>
    <w:tmpl w:val="76F6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655EE"/>
    <w:multiLevelType w:val="hybridMultilevel"/>
    <w:tmpl w:val="B47A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C032E"/>
    <w:multiLevelType w:val="hybridMultilevel"/>
    <w:tmpl w:val="38F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D4F58"/>
    <w:multiLevelType w:val="hybridMultilevel"/>
    <w:tmpl w:val="2CC6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F3FC8"/>
    <w:multiLevelType w:val="hybridMultilevel"/>
    <w:tmpl w:val="53403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641D4A"/>
    <w:multiLevelType w:val="hybridMultilevel"/>
    <w:tmpl w:val="A6FA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10918"/>
    <w:multiLevelType w:val="hybridMultilevel"/>
    <w:tmpl w:val="FBAA3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9B694D"/>
    <w:multiLevelType w:val="hybridMultilevel"/>
    <w:tmpl w:val="1E14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43E42"/>
    <w:multiLevelType w:val="multilevel"/>
    <w:tmpl w:val="744A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172CD"/>
    <w:multiLevelType w:val="hybridMultilevel"/>
    <w:tmpl w:val="F8A6A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983D1C"/>
    <w:multiLevelType w:val="hybridMultilevel"/>
    <w:tmpl w:val="104A4C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D35EE8"/>
    <w:multiLevelType w:val="hybridMultilevel"/>
    <w:tmpl w:val="8C9E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F5B40"/>
    <w:multiLevelType w:val="hybridMultilevel"/>
    <w:tmpl w:val="DFC4F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9141B5"/>
    <w:multiLevelType w:val="hybridMultilevel"/>
    <w:tmpl w:val="0290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049"/>
    <w:multiLevelType w:val="hybridMultilevel"/>
    <w:tmpl w:val="AFB0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25"/>
  </w:num>
  <w:num w:numId="2" w16cid:durableId="1861968716">
    <w:abstractNumId w:val="2"/>
  </w:num>
  <w:num w:numId="3" w16cid:durableId="709231278">
    <w:abstractNumId w:val="17"/>
  </w:num>
  <w:num w:numId="4" w16cid:durableId="1025520549">
    <w:abstractNumId w:val="13"/>
  </w:num>
  <w:num w:numId="5" w16cid:durableId="2109035487">
    <w:abstractNumId w:val="34"/>
  </w:num>
  <w:num w:numId="6" w16cid:durableId="1918515434">
    <w:abstractNumId w:val="24"/>
  </w:num>
  <w:num w:numId="7" w16cid:durableId="1394697654">
    <w:abstractNumId w:val="19"/>
  </w:num>
  <w:num w:numId="8" w16cid:durableId="521557236">
    <w:abstractNumId w:val="3"/>
  </w:num>
  <w:num w:numId="9" w16cid:durableId="2143841516">
    <w:abstractNumId w:val="20"/>
  </w:num>
  <w:num w:numId="10" w16cid:durableId="117067333">
    <w:abstractNumId w:val="12"/>
  </w:num>
  <w:num w:numId="11" w16cid:durableId="1519388519">
    <w:abstractNumId w:val="29"/>
  </w:num>
  <w:num w:numId="12" w16cid:durableId="1037968969">
    <w:abstractNumId w:val="6"/>
  </w:num>
  <w:num w:numId="13" w16cid:durableId="124009407">
    <w:abstractNumId w:val="0"/>
  </w:num>
  <w:num w:numId="14" w16cid:durableId="2139950948">
    <w:abstractNumId w:val="35"/>
  </w:num>
  <w:num w:numId="15" w16cid:durableId="1249341375">
    <w:abstractNumId w:val="5"/>
  </w:num>
  <w:num w:numId="16" w16cid:durableId="199174012">
    <w:abstractNumId w:val="40"/>
  </w:num>
  <w:num w:numId="17" w16cid:durableId="1814954227">
    <w:abstractNumId w:val="7"/>
  </w:num>
  <w:num w:numId="18" w16cid:durableId="2135903464">
    <w:abstractNumId w:val="4"/>
  </w:num>
  <w:num w:numId="19" w16cid:durableId="1471247121">
    <w:abstractNumId w:val="18"/>
  </w:num>
  <w:num w:numId="20" w16cid:durableId="75903826">
    <w:abstractNumId w:val="8"/>
  </w:num>
  <w:num w:numId="21" w16cid:durableId="1451128434">
    <w:abstractNumId w:val="31"/>
  </w:num>
  <w:num w:numId="22" w16cid:durableId="1669014492">
    <w:abstractNumId w:val="32"/>
  </w:num>
  <w:num w:numId="23" w16cid:durableId="246619836">
    <w:abstractNumId w:val="33"/>
  </w:num>
  <w:num w:numId="24" w16cid:durableId="1218783431">
    <w:abstractNumId w:val="28"/>
  </w:num>
  <w:num w:numId="25" w16cid:durableId="530338275">
    <w:abstractNumId w:val="10"/>
  </w:num>
  <w:num w:numId="26" w16cid:durableId="1852335708">
    <w:abstractNumId w:val="26"/>
  </w:num>
  <w:num w:numId="27" w16cid:durableId="1013266106">
    <w:abstractNumId w:val="11"/>
  </w:num>
  <w:num w:numId="28" w16cid:durableId="1025251585">
    <w:abstractNumId w:val="36"/>
  </w:num>
  <w:num w:numId="29" w16cid:durableId="1782604159">
    <w:abstractNumId w:val="30"/>
  </w:num>
  <w:num w:numId="30" w16cid:durableId="896814954">
    <w:abstractNumId w:val="39"/>
  </w:num>
  <w:num w:numId="31" w16cid:durableId="68621437">
    <w:abstractNumId w:val="21"/>
  </w:num>
  <w:num w:numId="32" w16cid:durableId="251857238">
    <w:abstractNumId w:val="38"/>
  </w:num>
  <w:num w:numId="33" w16cid:durableId="1215242400">
    <w:abstractNumId w:val="15"/>
  </w:num>
  <w:num w:numId="34" w16cid:durableId="128060337">
    <w:abstractNumId w:val="1"/>
  </w:num>
  <w:num w:numId="35" w16cid:durableId="1469543223">
    <w:abstractNumId w:val="14"/>
  </w:num>
  <w:num w:numId="36" w16cid:durableId="1983001516">
    <w:abstractNumId w:val="27"/>
  </w:num>
  <w:num w:numId="37" w16cid:durableId="557473329">
    <w:abstractNumId w:val="22"/>
  </w:num>
  <w:num w:numId="38" w16cid:durableId="1404109431">
    <w:abstractNumId w:val="16"/>
  </w:num>
  <w:num w:numId="39" w16cid:durableId="987513956">
    <w:abstractNumId w:val="23"/>
  </w:num>
  <w:num w:numId="40" w16cid:durableId="1314330377">
    <w:abstractNumId w:val="37"/>
  </w:num>
  <w:num w:numId="41" w16cid:durableId="1631322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152BE"/>
    <w:rsid w:val="00016C32"/>
    <w:rsid w:val="0001765F"/>
    <w:rsid w:val="00023A8D"/>
    <w:rsid w:val="00024B45"/>
    <w:rsid w:val="000310F5"/>
    <w:rsid w:val="0003544F"/>
    <w:rsid w:val="00040A61"/>
    <w:rsid w:val="0004264D"/>
    <w:rsid w:val="00042E6E"/>
    <w:rsid w:val="00044E2E"/>
    <w:rsid w:val="0004755A"/>
    <w:rsid w:val="000507CC"/>
    <w:rsid w:val="00061FC8"/>
    <w:rsid w:val="00065BF7"/>
    <w:rsid w:val="000664A8"/>
    <w:rsid w:val="000849ED"/>
    <w:rsid w:val="00090E8C"/>
    <w:rsid w:val="00096B6E"/>
    <w:rsid w:val="000B10AC"/>
    <w:rsid w:val="000B2028"/>
    <w:rsid w:val="000C382E"/>
    <w:rsid w:val="000D4968"/>
    <w:rsid w:val="000E672F"/>
    <w:rsid w:val="00125F44"/>
    <w:rsid w:val="00135393"/>
    <w:rsid w:val="00153879"/>
    <w:rsid w:val="00157428"/>
    <w:rsid w:val="001604FF"/>
    <w:rsid w:val="00164DFE"/>
    <w:rsid w:val="001670E2"/>
    <w:rsid w:val="001714D7"/>
    <w:rsid w:val="001767AD"/>
    <w:rsid w:val="00183933"/>
    <w:rsid w:val="00185966"/>
    <w:rsid w:val="001875CB"/>
    <w:rsid w:val="0019187C"/>
    <w:rsid w:val="001A25A2"/>
    <w:rsid w:val="001A31C0"/>
    <w:rsid w:val="001B16E0"/>
    <w:rsid w:val="001B20A8"/>
    <w:rsid w:val="001B7E6F"/>
    <w:rsid w:val="001C73A0"/>
    <w:rsid w:val="001D2890"/>
    <w:rsid w:val="001D7A2F"/>
    <w:rsid w:val="001F5669"/>
    <w:rsid w:val="00200446"/>
    <w:rsid w:val="0021286A"/>
    <w:rsid w:val="0021408B"/>
    <w:rsid w:val="00214A69"/>
    <w:rsid w:val="00220C2B"/>
    <w:rsid w:val="00224D29"/>
    <w:rsid w:val="00227EDB"/>
    <w:rsid w:val="00235F62"/>
    <w:rsid w:val="00237337"/>
    <w:rsid w:val="00244A28"/>
    <w:rsid w:val="00245D4C"/>
    <w:rsid w:val="002464E9"/>
    <w:rsid w:val="0025205B"/>
    <w:rsid w:val="00255EFC"/>
    <w:rsid w:val="00262DD6"/>
    <w:rsid w:val="00271E7E"/>
    <w:rsid w:val="00272BCE"/>
    <w:rsid w:val="00275E79"/>
    <w:rsid w:val="00277EAE"/>
    <w:rsid w:val="00284C27"/>
    <w:rsid w:val="00291717"/>
    <w:rsid w:val="002960CE"/>
    <w:rsid w:val="002B2E19"/>
    <w:rsid w:val="002D4154"/>
    <w:rsid w:val="002F45BE"/>
    <w:rsid w:val="002F5DD8"/>
    <w:rsid w:val="002F608A"/>
    <w:rsid w:val="00300451"/>
    <w:rsid w:val="00307804"/>
    <w:rsid w:val="00321BE2"/>
    <w:rsid w:val="00327450"/>
    <w:rsid w:val="003334C1"/>
    <w:rsid w:val="003418E5"/>
    <w:rsid w:val="0034459A"/>
    <w:rsid w:val="00347CE8"/>
    <w:rsid w:val="00362134"/>
    <w:rsid w:val="0037028A"/>
    <w:rsid w:val="00386DC4"/>
    <w:rsid w:val="003A0E00"/>
    <w:rsid w:val="003B081C"/>
    <w:rsid w:val="003C2D15"/>
    <w:rsid w:val="003C3D07"/>
    <w:rsid w:val="003C7577"/>
    <w:rsid w:val="003E0423"/>
    <w:rsid w:val="003E601E"/>
    <w:rsid w:val="00410A7C"/>
    <w:rsid w:val="00411AB3"/>
    <w:rsid w:val="0042521D"/>
    <w:rsid w:val="00425B93"/>
    <w:rsid w:val="004345E3"/>
    <w:rsid w:val="00442AFE"/>
    <w:rsid w:val="00444CB4"/>
    <w:rsid w:val="00446FD5"/>
    <w:rsid w:val="0047420E"/>
    <w:rsid w:val="00483E5C"/>
    <w:rsid w:val="00492057"/>
    <w:rsid w:val="004C6031"/>
    <w:rsid w:val="004D0894"/>
    <w:rsid w:val="004D1350"/>
    <w:rsid w:val="004E5D5D"/>
    <w:rsid w:val="004F3B7C"/>
    <w:rsid w:val="004F7D50"/>
    <w:rsid w:val="00501589"/>
    <w:rsid w:val="00512E84"/>
    <w:rsid w:val="00520C33"/>
    <w:rsid w:val="00540504"/>
    <w:rsid w:val="00544E39"/>
    <w:rsid w:val="00551C0F"/>
    <w:rsid w:val="0055308A"/>
    <w:rsid w:val="0055641B"/>
    <w:rsid w:val="00587AFF"/>
    <w:rsid w:val="00591837"/>
    <w:rsid w:val="005976AE"/>
    <w:rsid w:val="005A27F2"/>
    <w:rsid w:val="005B33B8"/>
    <w:rsid w:val="005C4E99"/>
    <w:rsid w:val="005C60FC"/>
    <w:rsid w:val="005D7C63"/>
    <w:rsid w:val="005F4016"/>
    <w:rsid w:val="006031AB"/>
    <w:rsid w:val="006123DF"/>
    <w:rsid w:val="00614482"/>
    <w:rsid w:val="006202C2"/>
    <w:rsid w:val="00625601"/>
    <w:rsid w:val="006338FE"/>
    <w:rsid w:val="00637AE5"/>
    <w:rsid w:val="006459E8"/>
    <w:rsid w:val="00655CCB"/>
    <w:rsid w:val="00655DA6"/>
    <w:rsid w:val="00662735"/>
    <w:rsid w:val="00663280"/>
    <w:rsid w:val="00667B6B"/>
    <w:rsid w:val="00675FCC"/>
    <w:rsid w:val="00682F63"/>
    <w:rsid w:val="00683720"/>
    <w:rsid w:val="00695EC5"/>
    <w:rsid w:val="006C1D5A"/>
    <w:rsid w:val="006C348D"/>
    <w:rsid w:val="006D4320"/>
    <w:rsid w:val="006D5E70"/>
    <w:rsid w:val="006D7246"/>
    <w:rsid w:val="006D791C"/>
    <w:rsid w:val="006E6015"/>
    <w:rsid w:val="006F5815"/>
    <w:rsid w:val="00704235"/>
    <w:rsid w:val="007046AE"/>
    <w:rsid w:val="007146F2"/>
    <w:rsid w:val="007215B9"/>
    <w:rsid w:val="00726E8A"/>
    <w:rsid w:val="00727A7E"/>
    <w:rsid w:val="007353BC"/>
    <w:rsid w:val="0074477F"/>
    <w:rsid w:val="00771D60"/>
    <w:rsid w:val="00783DC3"/>
    <w:rsid w:val="00791FDF"/>
    <w:rsid w:val="00797540"/>
    <w:rsid w:val="007A6462"/>
    <w:rsid w:val="007B767F"/>
    <w:rsid w:val="007D28D7"/>
    <w:rsid w:val="007D5F5F"/>
    <w:rsid w:val="007E1747"/>
    <w:rsid w:val="007E2A51"/>
    <w:rsid w:val="007E5F6C"/>
    <w:rsid w:val="00806F06"/>
    <w:rsid w:val="00825E92"/>
    <w:rsid w:val="00830036"/>
    <w:rsid w:val="00831EAB"/>
    <w:rsid w:val="00835FEC"/>
    <w:rsid w:val="00856A97"/>
    <w:rsid w:val="00893509"/>
    <w:rsid w:val="008A4CA4"/>
    <w:rsid w:val="008A5B75"/>
    <w:rsid w:val="008A6EA6"/>
    <w:rsid w:val="008B0BCF"/>
    <w:rsid w:val="008B0F57"/>
    <w:rsid w:val="008B4F06"/>
    <w:rsid w:val="008E74E8"/>
    <w:rsid w:val="008F66A2"/>
    <w:rsid w:val="0093618D"/>
    <w:rsid w:val="0094524E"/>
    <w:rsid w:val="009475C7"/>
    <w:rsid w:val="00950DA4"/>
    <w:rsid w:val="00963B51"/>
    <w:rsid w:val="009766F5"/>
    <w:rsid w:val="00984573"/>
    <w:rsid w:val="0098472B"/>
    <w:rsid w:val="0098734D"/>
    <w:rsid w:val="00990F30"/>
    <w:rsid w:val="009A4006"/>
    <w:rsid w:val="009D0627"/>
    <w:rsid w:val="009F6B9C"/>
    <w:rsid w:val="00A00EED"/>
    <w:rsid w:val="00A02F5F"/>
    <w:rsid w:val="00A36AA1"/>
    <w:rsid w:val="00A46B9B"/>
    <w:rsid w:val="00A537CB"/>
    <w:rsid w:val="00A669BE"/>
    <w:rsid w:val="00A71BFC"/>
    <w:rsid w:val="00A76232"/>
    <w:rsid w:val="00A81F8C"/>
    <w:rsid w:val="00A87845"/>
    <w:rsid w:val="00A96693"/>
    <w:rsid w:val="00AA009E"/>
    <w:rsid w:val="00AA4A8D"/>
    <w:rsid w:val="00AA57D4"/>
    <w:rsid w:val="00AC70D0"/>
    <w:rsid w:val="00AD2AF0"/>
    <w:rsid w:val="00AF1955"/>
    <w:rsid w:val="00AF37AA"/>
    <w:rsid w:val="00AF5CDD"/>
    <w:rsid w:val="00AF6B0B"/>
    <w:rsid w:val="00B0002D"/>
    <w:rsid w:val="00B06817"/>
    <w:rsid w:val="00B145D3"/>
    <w:rsid w:val="00B161D4"/>
    <w:rsid w:val="00B20C25"/>
    <w:rsid w:val="00B32CFF"/>
    <w:rsid w:val="00B354E6"/>
    <w:rsid w:val="00B56745"/>
    <w:rsid w:val="00B6025B"/>
    <w:rsid w:val="00B61C29"/>
    <w:rsid w:val="00B67833"/>
    <w:rsid w:val="00B71CC6"/>
    <w:rsid w:val="00B74429"/>
    <w:rsid w:val="00B76E41"/>
    <w:rsid w:val="00B802B0"/>
    <w:rsid w:val="00B8113D"/>
    <w:rsid w:val="00B81BD7"/>
    <w:rsid w:val="00BA2529"/>
    <w:rsid w:val="00BA7142"/>
    <w:rsid w:val="00BB20EA"/>
    <w:rsid w:val="00BB2491"/>
    <w:rsid w:val="00BB6C3D"/>
    <w:rsid w:val="00BB727F"/>
    <w:rsid w:val="00BC5392"/>
    <w:rsid w:val="00BC6C02"/>
    <w:rsid w:val="00BE789F"/>
    <w:rsid w:val="00C002C7"/>
    <w:rsid w:val="00C03AAD"/>
    <w:rsid w:val="00C04329"/>
    <w:rsid w:val="00C128F6"/>
    <w:rsid w:val="00C1430E"/>
    <w:rsid w:val="00C31391"/>
    <w:rsid w:val="00C328FB"/>
    <w:rsid w:val="00C32A69"/>
    <w:rsid w:val="00C33398"/>
    <w:rsid w:val="00C410DF"/>
    <w:rsid w:val="00C41802"/>
    <w:rsid w:val="00C44EF4"/>
    <w:rsid w:val="00C52132"/>
    <w:rsid w:val="00C57FBE"/>
    <w:rsid w:val="00C6046C"/>
    <w:rsid w:val="00C62C6C"/>
    <w:rsid w:val="00C97846"/>
    <w:rsid w:val="00CA01D5"/>
    <w:rsid w:val="00CA7CCB"/>
    <w:rsid w:val="00CB355A"/>
    <w:rsid w:val="00CD59AF"/>
    <w:rsid w:val="00CE525F"/>
    <w:rsid w:val="00CE588A"/>
    <w:rsid w:val="00CE694B"/>
    <w:rsid w:val="00CF05BF"/>
    <w:rsid w:val="00CF1E24"/>
    <w:rsid w:val="00CF25EE"/>
    <w:rsid w:val="00CF531F"/>
    <w:rsid w:val="00D066FA"/>
    <w:rsid w:val="00D12C78"/>
    <w:rsid w:val="00D21394"/>
    <w:rsid w:val="00D256D9"/>
    <w:rsid w:val="00D2798D"/>
    <w:rsid w:val="00D377AB"/>
    <w:rsid w:val="00D63EBA"/>
    <w:rsid w:val="00D72CFA"/>
    <w:rsid w:val="00DA53F4"/>
    <w:rsid w:val="00DA62EC"/>
    <w:rsid w:val="00DA758F"/>
    <w:rsid w:val="00DB5B0C"/>
    <w:rsid w:val="00DC0B97"/>
    <w:rsid w:val="00DC1B9E"/>
    <w:rsid w:val="00DC50C4"/>
    <w:rsid w:val="00DC6049"/>
    <w:rsid w:val="00DD0A6A"/>
    <w:rsid w:val="00DD2D16"/>
    <w:rsid w:val="00DE0D26"/>
    <w:rsid w:val="00DE24A5"/>
    <w:rsid w:val="00DF5801"/>
    <w:rsid w:val="00DF66E8"/>
    <w:rsid w:val="00E12287"/>
    <w:rsid w:val="00E12719"/>
    <w:rsid w:val="00E359D6"/>
    <w:rsid w:val="00E4061D"/>
    <w:rsid w:val="00E42E44"/>
    <w:rsid w:val="00E56C0E"/>
    <w:rsid w:val="00E651CF"/>
    <w:rsid w:val="00E660ED"/>
    <w:rsid w:val="00E96F3D"/>
    <w:rsid w:val="00EA0E14"/>
    <w:rsid w:val="00EA312C"/>
    <w:rsid w:val="00EB163E"/>
    <w:rsid w:val="00EB165B"/>
    <w:rsid w:val="00EB706A"/>
    <w:rsid w:val="00EC1786"/>
    <w:rsid w:val="00ED06DF"/>
    <w:rsid w:val="00ED1862"/>
    <w:rsid w:val="00EF66E2"/>
    <w:rsid w:val="00F00B9B"/>
    <w:rsid w:val="00F15C20"/>
    <w:rsid w:val="00F23F0B"/>
    <w:rsid w:val="00F4411B"/>
    <w:rsid w:val="00F44425"/>
    <w:rsid w:val="00F578A9"/>
    <w:rsid w:val="00F62D8E"/>
    <w:rsid w:val="00F75275"/>
    <w:rsid w:val="00F778EC"/>
    <w:rsid w:val="00F77A63"/>
    <w:rsid w:val="00F77E7A"/>
    <w:rsid w:val="00F804D2"/>
    <w:rsid w:val="00F858B5"/>
    <w:rsid w:val="00FA64C9"/>
    <w:rsid w:val="00FB1350"/>
    <w:rsid w:val="00FC0E3D"/>
    <w:rsid w:val="00FC5C9D"/>
    <w:rsid w:val="00FC6C9F"/>
    <w:rsid w:val="00FD5960"/>
    <w:rsid w:val="00FF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74E8"/>
    <w:pPr>
      <w:keepNext/>
      <w:keepLines/>
      <w:ind w:firstLine="0"/>
      <w:jc w:val="center"/>
      <w:outlineLvl w:val="0"/>
    </w:pPr>
    <w:rPr>
      <w:rFonts w:eastAsia="Arial" w:cs="Arial"/>
      <w:b/>
    </w:rPr>
  </w:style>
  <w:style w:type="paragraph" w:styleId="Heading2">
    <w:name w:val="heading 2"/>
    <w:basedOn w:val="Normal"/>
    <w:next w:val="Normal"/>
    <w:link w:val="Heading2Char"/>
    <w:unhideWhenUsed/>
    <w:qFormat/>
    <w:rsid w:val="00BC5392"/>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link w:val="Heading3Char"/>
    <w:uiPriority w:val="9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71"/>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aliases w:val=" Char,Char,Char Char Char Char,Char Char Char, Char Char Char Char, Char Char Char,Comment Text Char Char Char,Comment Text Char Char Char Char Char Char,Comment Text Char Char Char Char Char,Comment Text Char1 Char,Kat Comment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aliases w:val=" Char Char,Char Char,Char Char Char Char Char,Char Char Char Char1, Char Char Char Char Char, Char Char Char Char1,Comment Text Char Char Char Char,Comment Text Char Char Char Char Char Char Char,Comment Text Char1 Char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rsid w:val="008E74E8"/>
    <w:rPr>
      <w:rFonts w:eastAsia="Arial" w:cs="Arial"/>
      <w:b/>
    </w:rPr>
  </w:style>
  <w:style w:type="character" w:customStyle="1" w:styleId="Heading2Char">
    <w:name w:val="Heading 2 Char"/>
    <w:basedOn w:val="DefaultParagraphFont"/>
    <w:link w:val="Heading2"/>
    <w:rsid w:val="00BC5392"/>
    <w:rPr>
      <w:rFonts w:eastAsia="Arial" w:cs="Arial"/>
      <w:b/>
    </w:rPr>
  </w:style>
  <w:style w:type="character" w:customStyle="1" w:styleId="Heading3Char">
    <w:name w:val="Heading 3 Char"/>
    <w:basedOn w:val="DefaultParagraphFont"/>
    <w:link w:val="Heading3"/>
    <w:uiPriority w:val="9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9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 w:type="character" w:customStyle="1" w:styleId="markedcontent">
    <w:name w:val="markedcontent"/>
    <w:basedOn w:val="DefaultParagraphFont"/>
    <w:rsid w:val="00B20C25"/>
  </w:style>
  <w:style w:type="character" w:customStyle="1" w:styleId="relative">
    <w:name w:val="relative"/>
    <w:basedOn w:val="DefaultParagraphFont"/>
    <w:rsid w:val="00CF1E24"/>
  </w:style>
  <w:style w:type="paragraph" w:customStyle="1" w:styleId="APALevel0">
    <w:name w:val="APA Level 0"/>
    <w:qFormat/>
    <w:rsid w:val="00B67833"/>
    <w:pPr>
      <w:keepNext/>
      <w:keepLines/>
      <w:widowControl/>
      <w:spacing w:after="0" w:line="480" w:lineRule="auto"/>
      <w:ind w:firstLine="0"/>
      <w:jc w:val="center"/>
      <w:outlineLvl w:val="0"/>
    </w:pPr>
    <w:rPr>
      <w:lang w:eastAsia="en-US"/>
    </w:rPr>
  </w:style>
  <w:style w:type="paragraph" w:customStyle="1" w:styleId="APALevel1">
    <w:name w:val="APA Level 1"/>
    <w:next w:val="BodyText"/>
    <w:link w:val="APALevel1Char"/>
    <w:qFormat/>
    <w:rsid w:val="00B67833"/>
    <w:pPr>
      <w:keepNext/>
      <w:keepLines/>
      <w:widowControl/>
      <w:tabs>
        <w:tab w:val="right" w:leader="dot" w:pos="8640"/>
      </w:tabs>
      <w:autoSpaceDE w:val="0"/>
      <w:autoSpaceDN w:val="0"/>
      <w:spacing w:after="0" w:line="480" w:lineRule="auto"/>
      <w:ind w:firstLine="0"/>
      <w:jc w:val="center"/>
      <w:outlineLvl w:val="1"/>
    </w:pPr>
    <w:rPr>
      <w:b/>
      <w:lang w:eastAsia="en-US"/>
    </w:rPr>
  </w:style>
  <w:style w:type="character" w:customStyle="1" w:styleId="APALevel1Char">
    <w:name w:val="APA Level 1 Char"/>
    <w:link w:val="APALevel1"/>
    <w:rsid w:val="00B67833"/>
    <w:rPr>
      <w:b/>
      <w:lang w:eastAsia="en-US"/>
    </w:rPr>
  </w:style>
  <w:style w:type="paragraph" w:customStyle="1" w:styleId="BodyParagraph">
    <w:name w:val="Body Paragraph"/>
    <w:basedOn w:val="Normal"/>
    <w:qFormat/>
    <w:rsid w:val="00B67833"/>
    <w:pPr>
      <w:widowControl/>
      <w:autoSpaceDE w:val="0"/>
      <w:autoSpaceDN w:val="0"/>
      <w:adjustRightInd w:val="0"/>
      <w:snapToGrid w:val="0"/>
      <w:spacing w:after="0" w:line="480" w:lineRule="auto"/>
      <w:contextualSpacing/>
    </w:pPr>
    <w:rPr>
      <w:lang w:eastAsia="en-US"/>
    </w:rPr>
  </w:style>
  <w:style w:type="paragraph" w:styleId="BodyText">
    <w:name w:val="Body Text"/>
    <w:basedOn w:val="Normal"/>
    <w:link w:val="BodyTextChar"/>
    <w:unhideWhenUsed/>
    <w:rsid w:val="00B67833"/>
    <w:pPr>
      <w:spacing w:after="120"/>
    </w:pPr>
  </w:style>
  <w:style w:type="character" w:customStyle="1" w:styleId="BodyTextChar">
    <w:name w:val="Body Text Char"/>
    <w:basedOn w:val="DefaultParagraphFont"/>
    <w:link w:val="BodyText"/>
    <w:rsid w:val="00B67833"/>
  </w:style>
  <w:style w:type="paragraph" w:customStyle="1" w:styleId="APALevel2">
    <w:name w:val="APA Level 2"/>
    <w:basedOn w:val="APALevel1"/>
    <w:next w:val="BodyText"/>
    <w:qFormat/>
    <w:rsid w:val="00291717"/>
    <w:pPr>
      <w:adjustRightInd w:val="0"/>
      <w:jc w:val="left"/>
      <w:outlineLvl w:val="2"/>
    </w:pPr>
    <w:rPr>
      <w:iCs/>
    </w:rPr>
  </w:style>
  <w:style w:type="paragraph" w:customStyle="1" w:styleId="APALevel3">
    <w:name w:val="APA Level 3"/>
    <w:basedOn w:val="BodyText"/>
    <w:next w:val="BodyText"/>
    <w:link w:val="APALevel3Char"/>
    <w:qFormat/>
    <w:rsid w:val="00291717"/>
    <w:pPr>
      <w:keepNext/>
      <w:keepLines/>
      <w:widowControl/>
      <w:autoSpaceDE w:val="0"/>
      <w:autoSpaceDN w:val="0"/>
      <w:adjustRightInd w:val="0"/>
      <w:snapToGrid w:val="0"/>
      <w:spacing w:after="0" w:line="480" w:lineRule="auto"/>
      <w:ind w:firstLine="0"/>
    </w:pPr>
    <w:rPr>
      <w:b/>
      <w:bCs/>
      <w:i/>
      <w:lang w:eastAsia="en-US"/>
    </w:rPr>
  </w:style>
  <w:style w:type="character" w:customStyle="1" w:styleId="APALevel3Char">
    <w:name w:val="APA Level 3 Char"/>
    <w:link w:val="APALevel3"/>
    <w:rsid w:val="00291717"/>
    <w:rPr>
      <w:b/>
      <w:bCs/>
      <w:i/>
      <w:lang w:eastAsia="en-US"/>
    </w:rPr>
  </w:style>
  <w:style w:type="paragraph" w:customStyle="1" w:styleId="APAReference">
    <w:name w:val="APA Reference"/>
    <w:qFormat/>
    <w:rsid w:val="00291717"/>
    <w:pPr>
      <w:autoSpaceDE w:val="0"/>
      <w:autoSpaceDN w:val="0"/>
      <w:adjustRightInd w:val="0"/>
      <w:spacing w:after="0" w:line="480" w:lineRule="auto"/>
      <w:ind w:left="720" w:hanging="720"/>
    </w:pPr>
    <w:rPr>
      <w:lang w:eastAsia="en-US"/>
    </w:rPr>
  </w:style>
  <w:style w:type="paragraph" w:customStyle="1" w:styleId="FlushLeft">
    <w:name w:val="Flush Left"/>
    <w:link w:val="FlushLeftChar"/>
    <w:uiPriority w:val="99"/>
    <w:semiHidden/>
    <w:rsid w:val="00291717"/>
    <w:pPr>
      <w:autoSpaceDE w:val="0"/>
      <w:autoSpaceDN w:val="0"/>
      <w:adjustRightInd w:val="0"/>
      <w:spacing w:after="0" w:line="480" w:lineRule="auto"/>
      <w:ind w:firstLine="0"/>
    </w:pPr>
    <w:rPr>
      <w:lang w:eastAsia="en-US"/>
    </w:rPr>
  </w:style>
  <w:style w:type="character" w:customStyle="1" w:styleId="FlushLeftChar">
    <w:name w:val="Flush Left Char"/>
    <w:link w:val="FlushLeft"/>
    <w:uiPriority w:val="99"/>
    <w:semiHidden/>
    <w:rsid w:val="00291717"/>
    <w:rPr>
      <w:lang w:eastAsia="en-US"/>
    </w:rPr>
  </w:style>
  <w:style w:type="paragraph" w:customStyle="1" w:styleId="CenteredTextSingleSpace">
    <w:name w:val="Centered Text Single Space"/>
    <w:basedOn w:val="Normal"/>
    <w:uiPriority w:val="99"/>
    <w:semiHidden/>
    <w:rsid w:val="00291717"/>
    <w:pPr>
      <w:widowControl/>
      <w:autoSpaceDE w:val="0"/>
      <w:autoSpaceDN w:val="0"/>
      <w:adjustRightInd w:val="0"/>
      <w:snapToGrid w:val="0"/>
      <w:spacing w:after="0" w:line="240" w:lineRule="auto"/>
      <w:ind w:firstLine="0"/>
      <w:jc w:val="center"/>
    </w:pPr>
    <w:rPr>
      <w:lang w:eastAsia="en-US"/>
    </w:rPr>
  </w:style>
  <w:style w:type="paragraph" w:styleId="TableofFigures">
    <w:name w:val="table of figures"/>
    <w:basedOn w:val="Normal"/>
    <w:next w:val="Normal"/>
    <w:uiPriority w:val="99"/>
    <w:rsid w:val="00291717"/>
    <w:pPr>
      <w:widowControl/>
      <w:autoSpaceDE w:val="0"/>
      <w:autoSpaceDN w:val="0"/>
      <w:adjustRightInd w:val="0"/>
      <w:snapToGrid w:val="0"/>
      <w:spacing w:after="0" w:line="480" w:lineRule="auto"/>
      <w:ind w:left="480" w:hanging="480"/>
    </w:pPr>
    <w:rPr>
      <w:lang w:eastAsia="en-US"/>
    </w:rPr>
  </w:style>
  <w:style w:type="paragraph" w:customStyle="1" w:styleId="APALevel0noTOC">
    <w:name w:val="APA Level 0 no TOC"/>
    <w:basedOn w:val="APALevel0"/>
    <w:next w:val="BodyText"/>
    <w:qFormat/>
    <w:rsid w:val="00291717"/>
    <w:pPr>
      <w:pageBreakBefore/>
      <w:outlineLvl w:val="9"/>
    </w:pPr>
  </w:style>
  <w:style w:type="paragraph" w:styleId="TOC1">
    <w:name w:val="toc 1"/>
    <w:basedOn w:val="Normal"/>
    <w:next w:val="Normal"/>
    <w:uiPriority w:val="39"/>
    <w:rsid w:val="00291717"/>
    <w:pPr>
      <w:widowControl/>
      <w:tabs>
        <w:tab w:val="right" w:leader="dot" w:pos="8640"/>
      </w:tabs>
      <w:autoSpaceDE w:val="0"/>
      <w:autoSpaceDN w:val="0"/>
      <w:adjustRightInd w:val="0"/>
      <w:snapToGrid w:val="0"/>
      <w:spacing w:after="0" w:line="480" w:lineRule="auto"/>
      <w:ind w:left="720" w:right="720" w:hanging="720"/>
      <w:outlineLvl w:val="0"/>
    </w:pPr>
    <w:rPr>
      <w:noProof/>
      <w:lang w:eastAsia="en-US"/>
    </w:rPr>
  </w:style>
  <w:style w:type="paragraph" w:styleId="TOC2">
    <w:name w:val="toc 2"/>
    <w:basedOn w:val="Normal"/>
    <w:next w:val="Normal"/>
    <w:uiPriority w:val="39"/>
    <w:rsid w:val="00291717"/>
    <w:pPr>
      <w:widowControl/>
      <w:tabs>
        <w:tab w:val="right" w:leader="dot" w:pos="8640"/>
      </w:tabs>
      <w:autoSpaceDE w:val="0"/>
      <w:autoSpaceDN w:val="0"/>
      <w:adjustRightInd w:val="0"/>
      <w:snapToGrid w:val="0"/>
      <w:spacing w:after="0" w:line="480" w:lineRule="auto"/>
      <w:ind w:left="1080" w:right="720" w:hanging="720"/>
    </w:pPr>
    <w:rPr>
      <w:noProof/>
      <w:lang w:eastAsia="en-US"/>
    </w:rPr>
  </w:style>
  <w:style w:type="paragraph" w:styleId="TOC3">
    <w:name w:val="toc 3"/>
    <w:basedOn w:val="Normal"/>
    <w:next w:val="Normal"/>
    <w:uiPriority w:val="39"/>
    <w:rsid w:val="00291717"/>
    <w:pPr>
      <w:widowControl/>
      <w:autoSpaceDE w:val="0"/>
      <w:autoSpaceDN w:val="0"/>
      <w:adjustRightInd w:val="0"/>
      <w:snapToGrid w:val="0"/>
      <w:spacing w:after="0" w:line="480" w:lineRule="auto"/>
      <w:ind w:left="1440" w:right="720" w:hanging="720"/>
    </w:pPr>
    <w:rPr>
      <w:lang w:eastAsia="en-US"/>
    </w:rPr>
  </w:style>
  <w:style w:type="paragraph" w:styleId="TOC4">
    <w:name w:val="toc 4"/>
    <w:basedOn w:val="Normal"/>
    <w:next w:val="Normal"/>
    <w:uiPriority w:val="99"/>
    <w:semiHidden/>
    <w:rsid w:val="00291717"/>
    <w:pPr>
      <w:widowControl/>
      <w:autoSpaceDE w:val="0"/>
      <w:autoSpaceDN w:val="0"/>
      <w:adjustRightInd w:val="0"/>
      <w:snapToGrid w:val="0"/>
      <w:spacing w:after="0" w:line="240" w:lineRule="auto"/>
      <w:ind w:left="1800" w:right="720" w:hanging="720"/>
    </w:pPr>
    <w:rPr>
      <w:lang w:eastAsia="en-US"/>
    </w:rPr>
  </w:style>
  <w:style w:type="paragraph" w:styleId="BlockText">
    <w:name w:val="Block Text"/>
    <w:aliases w:val="Block Quote Text"/>
    <w:basedOn w:val="BodyText"/>
    <w:link w:val="BlockTextChar"/>
    <w:autoRedefine/>
    <w:rsid w:val="00291717"/>
    <w:pPr>
      <w:widowControl/>
      <w:autoSpaceDE w:val="0"/>
      <w:autoSpaceDN w:val="0"/>
      <w:adjustRightInd w:val="0"/>
      <w:snapToGrid w:val="0"/>
      <w:spacing w:after="0" w:line="480" w:lineRule="auto"/>
      <w:ind w:left="720" w:firstLine="0"/>
    </w:pPr>
    <w:rPr>
      <w:lang w:eastAsia="en-US"/>
    </w:rPr>
  </w:style>
  <w:style w:type="character" w:customStyle="1" w:styleId="BlockTextChar">
    <w:name w:val="Block Text Char"/>
    <w:aliases w:val="Block Quote Text Char"/>
    <w:basedOn w:val="BodyTextChar"/>
    <w:link w:val="BlockText"/>
    <w:rsid w:val="00291717"/>
    <w:rPr>
      <w:lang w:eastAsia="en-US"/>
    </w:rPr>
  </w:style>
  <w:style w:type="paragraph" w:customStyle="1" w:styleId="BlockText2">
    <w:name w:val="Block Text 2"/>
    <w:basedOn w:val="BlockText"/>
    <w:next w:val="BodyText"/>
    <w:uiPriority w:val="99"/>
    <w:semiHidden/>
    <w:rsid w:val="00291717"/>
    <w:pPr>
      <w:ind w:firstLine="720"/>
    </w:pPr>
  </w:style>
  <w:style w:type="paragraph" w:customStyle="1" w:styleId="TableBodyText">
    <w:name w:val="Table Body Text"/>
    <w:basedOn w:val="Normal"/>
    <w:uiPriority w:val="99"/>
    <w:semiHidden/>
    <w:rsid w:val="0029171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240" w:line="240" w:lineRule="auto"/>
      <w:ind w:firstLine="0"/>
    </w:pPr>
    <w:rPr>
      <w:sz w:val="20"/>
      <w:szCs w:val="20"/>
      <w:lang w:eastAsia="en-US"/>
    </w:rPr>
  </w:style>
  <w:style w:type="paragraph" w:customStyle="1" w:styleId="StyleAPALevel4LeftLinespacingsingle">
    <w:name w:val="Style APA Level 4 + Left Line spacing:  single"/>
    <w:basedOn w:val="Normal"/>
    <w:semiHidden/>
    <w:rsid w:val="00291717"/>
    <w:pPr>
      <w:keepNext/>
      <w:keepLines/>
      <w:tabs>
        <w:tab w:val="right" w:leader="dot" w:pos="8640"/>
      </w:tabs>
      <w:suppressAutoHyphens/>
      <w:autoSpaceDE w:val="0"/>
      <w:autoSpaceDN w:val="0"/>
      <w:adjustRightInd w:val="0"/>
      <w:spacing w:after="0" w:line="240" w:lineRule="auto"/>
      <w:outlineLvl w:val="4"/>
    </w:pPr>
    <w:rPr>
      <w:bCs/>
      <w:iCs/>
      <w:szCs w:val="20"/>
      <w:lang w:eastAsia="en-US"/>
    </w:rPr>
  </w:style>
  <w:style w:type="paragraph" w:customStyle="1" w:styleId="Default">
    <w:name w:val="Default"/>
    <w:rsid w:val="00291717"/>
    <w:pPr>
      <w:widowControl/>
      <w:autoSpaceDE w:val="0"/>
      <w:autoSpaceDN w:val="0"/>
      <w:adjustRightInd w:val="0"/>
      <w:spacing w:after="0" w:line="240" w:lineRule="auto"/>
      <w:ind w:firstLine="0"/>
    </w:pPr>
    <w:rPr>
      <w:color w:val="000000"/>
      <w:lang w:eastAsia="en-US"/>
    </w:rPr>
  </w:style>
  <w:style w:type="paragraph" w:customStyle="1" w:styleId="Figurecaption">
    <w:name w:val="Figure caption"/>
    <w:basedOn w:val="FlushLeft"/>
    <w:next w:val="FlushLeft"/>
    <w:link w:val="FigurecaptionChar"/>
    <w:autoRedefine/>
    <w:semiHidden/>
    <w:rsid w:val="00291717"/>
    <w:pPr>
      <w:tabs>
        <w:tab w:val="right" w:leader="dot" w:pos="8640"/>
      </w:tabs>
    </w:pPr>
    <w:rPr>
      <w:i/>
    </w:rPr>
  </w:style>
  <w:style w:type="character" w:customStyle="1" w:styleId="FigurecaptionChar">
    <w:name w:val="Figure caption Char"/>
    <w:link w:val="Figurecaption"/>
    <w:semiHidden/>
    <w:rsid w:val="00291717"/>
    <w:rPr>
      <w:i/>
      <w:lang w:eastAsia="en-US"/>
    </w:rPr>
  </w:style>
  <w:style w:type="paragraph" w:customStyle="1" w:styleId="ColorfulShading-Accent31">
    <w:name w:val="Colorful Shading - Accent 31"/>
    <w:basedOn w:val="Normal"/>
    <w:uiPriority w:val="34"/>
    <w:semiHidden/>
    <w:qFormat/>
    <w:rsid w:val="00291717"/>
    <w:pPr>
      <w:widowControl/>
      <w:spacing w:after="0" w:line="240" w:lineRule="auto"/>
      <w:ind w:left="720" w:firstLine="0"/>
    </w:pPr>
    <w:rPr>
      <w:rFonts w:eastAsia="Calibri"/>
      <w:lang w:eastAsia="en-US"/>
    </w:rPr>
  </w:style>
  <w:style w:type="paragraph" w:customStyle="1" w:styleId="APALevel4">
    <w:name w:val="APA Level 4"/>
    <w:basedOn w:val="BodyText"/>
    <w:next w:val="BodyText"/>
    <w:link w:val="APALevel4Char"/>
    <w:qFormat/>
    <w:rsid w:val="00291717"/>
    <w:pPr>
      <w:widowControl/>
      <w:autoSpaceDE w:val="0"/>
      <w:autoSpaceDN w:val="0"/>
      <w:adjustRightInd w:val="0"/>
      <w:snapToGrid w:val="0"/>
      <w:spacing w:after="0" w:line="480" w:lineRule="auto"/>
      <w:outlineLvl w:val="4"/>
    </w:pPr>
    <w:rPr>
      <w:rFonts w:ascii="Times New Roman Bold" w:hAnsi="Times New Roman Bold"/>
      <w:b/>
      <w:iCs/>
      <w:lang w:eastAsia="en-US"/>
    </w:rPr>
  </w:style>
  <w:style w:type="character" w:customStyle="1" w:styleId="APALevel4Char">
    <w:name w:val="APA Level 4 Char"/>
    <w:link w:val="APALevel4"/>
    <w:rsid w:val="00291717"/>
    <w:rPr>
      <w:rFonts w:ascii="Times New Roman Bold" w:hAnsi="Times New Roman Bold"/>
      <w:b/>
      <w:iCs/>
      <w:lang w:eastAsia="en-US"/>
    </w:rPr>
  </w:style>
  <w:style w:type="character" w:customStyle="1" w:styleId="Hyperlink2">
    <w:name w:val="Hyperlink.2"/>
    <w:semiHidden/>
    <w:rsid w:val="00291717"/>
  </w:style>
  <w:style w:type="paragraph" w:customStyle="1" w:styleId="TableHeadingTitle">
    <w:name w:val="Table Heading Title"/>
    <w:basedOn w:val="FlushLeft"/>
    <w:uiPriority w:val="99"/>
    <w:semiHidden/>
    <w:rsid w:val="0029171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character" w:customStyle="1" w:styleId="Style1">
    <w:name w:val="Style1"/>
    <w:uiPriority w:val="99"/>
    <w:semiHidden/>
    <w:qFormat/>
    <w:rsid w:val="00291717"/>
    <w:rPr>
      <w:i/>
      <w:iCs/>
    </w:rPr>
  </w:style>
  <w:style w:type="paragraph" w:customStyle="1" w:styleId="xxmsonormal">
    <w:name w:val="x_x_msonormal"/>
    <w:basedOn w:val="Normal"/>
    <w:rsid w:val="00291717"/>
    <w:pPr>
      <w:widowControl/>
      <w:spacing w:after="0" w:line="240" w:lineRule="auto"/>
      <w:ind w:firstLine="0"/>
    </w:pPr>
    <w:rPr>
      <w:rFonts w:ascii="Calibri" w:eastAsiaTheme="minorHAnsi" w:hAnsi="Calibri" w:cs="Calibri"/>
      <w:sz w:val="22"/>
      <w:szCs w:val="22"/>
      <w:lang w:eastAsia="en-US"/>
    </w:rPr>
  </w:style>
  <w:style w:type="paragraph" w:customStyle="1" w:styleId="APABodyParagraph">
    <w:name w:val="APA Body Paragraph"/>
    <w:basedOn w:val="BodyText"/>
    <w:qFormat/>
    <w:rsid w:val="00291717"/>
    <w:pPr>
      <w:widowControl/>
      <w:autoSpaceDE w:val="0"/>
      <w:autoSpaceDN w:val="0"/>
      <w:adjustRightInd w:val="0"/>
      <w:snapToGrid w:val="0"/>
      <w:spacing w:after="0" w:line="480" w:lineRule="auto"/>
    </w:pPr>
    <w:rPr>
      <w:lang w:eastAsia="en-US"/>
    </w:rPr>
  </w:style>
  <w:style w:type="character" w:styleId="HTMLCite">
    <w:name w:val="HTML Cite"/>
    <w:basedOn w:val="DefaultParagraphFont"/>
    <w:uiPriority w:val="99"/>
    <w:semiHidden/>
    <w:unhideWhenUsed/>
    <w:rsid w:val="00291717"/>
    <w:rPr>
      <w:i/>
      <w:iCs/>
    </w:rPr>
  </w:style>
  <w:style w:type="paragraph" w:styleId="BodyText2">
    <w:name w:val="Body Text 2"/>
    <w:basedOn w:val="Normal"/>
    <w:link w:val="BodyText2Char"/>
    <w:unhideWhenUsed/>
    <w:rsid w:val="00291717"/>
    <w:pPr>
      <w:widowControl/>
      <w:spacing w:after="0" w:line="312" w:lineRule="atLeast"/>
      <w:ind w:firstLine="0"/>
      <w:textAlignment w:val="baseline"/>
    </w:pPr>
    <w:rPr>
      <w:rFonts w:ascii="inherit" w:hAnsi="inherit" w:cs="Arial"/>
      <w:color w:val="222222"/>
      <w:lang w:eastAsia="en-US"/>
    </w:rPr>
  </w:style>
  <w:style w:type="character" w:customStyle="1" w:styleId="BodyText2Char">
    <w:name w:val="Body Text 2 Char"/>
    <w:basedOn w:val="DefaultParagraphFont"/>
    <w:link w:val="BodyText2"/>
    <w:rsid w:val="00291717"/>
    <w:rPr>
      <w:rFonts w:ascii="inherit" w:hAnsi="inherit" w:cs="Arial"/>
      <w:color w:val="222222"/>
      <w:lang w:eastAsia="en-US"/>
    </w:rPr>
  </w:style>
  <w:style w:type="paragraph" w:customStyle="1" w:styleId="appendelete">
    <w:name w:val=".appendelete"/>
    <w:rsid w:val="00291717"/>
    <w:pPr>
      <w:widowControl/>
      <w:autoSpaceDE w:val="0"/>
      <w:autoSpaceDN w:val="0"/>
      <w:adjustRightInd w:val="0"/>
      <w:snapToGrid w:val="0"/>
      <w:spacing w:after="0" w:line="240" w:lineRule="auto"/>
      <w:ind w:firstLine="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95666">
      <w:bodyDiv w:val="1"/>
      <w:marLeft w:val="0"/>
      <w:marRight w:val="0"/>
      <w:marTop w:val="0"/>
      <w:marBottom w:val="0"/>
      <w:divBdr>
        <w:top w:val="none" w:sz="0" w:space="0" w:color="auto"/>
        <w:left w:val="none" w:sz="0" w:space="0" w:color="auto"/>
        <w:bottom w:val="none" w:sz="0" w:space="0" w:color="auto"/>
        <w:right w:val="none" w:sz="0" w:space="0" w:color="auto"/>
      </w:divBdr>
    </w:div>
    <w:div w:id="1099716762">
      <w:bodyDiv w:val="1"/>
      <w:marLeft w:val="0"/>
      <w:marRight w:val="0"/>
      <w:marTop w:val="0"/>
      <w:marBottom w:val="0"/>
      <w:divBdr>
        <w:top w:val="none" w:sz="0" w:space="0" w:color="auto"/>
        <w:left w:val="none" w:sz="0" w:space="0" w:color="auto"/>
        <w:bottom w:val="none" w:sz="0" w:space="0" w:color="auto"/>
        <w:right w:val="none" w:sz="0" w:space="0" w:color="auto"/>
      </w:divBdr>
    </w:div>
    <w:div w:id="210622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4434/pders.v37i2.25738" TargetMode="External"/><Relationship Id="rId18" Type="http://schemas.openxmlformats.org/officeDocument/2006/relationships/hyperlink" Target="https://doi.org/10.1352/1934-9556-54.6.427" TargetMode="External"/><Relationship Id="rId26" Type="http://schemas.openxmlformats.org/officeDocument/2006/relationships/hyperlink" Target="https://doi.org/10.1891/0047-2220.48.2.42" TargetMode="External"/><Relationship Id="rId39" Type="http://schemas.openxmlformats.org/officeDocument/2006/relationships/hyperlink" Target="https://doi.org/10.1016/j.alter.2018.04.004" TargetMode="External"/><Relationship Id="rId21" Type="http://schemas.openxmlformats.org/officeDocument/2006/relationships/hyperlink" Target="https://doi.org/10.1016/j.pedn.2019.05.008" TargetMode="External"/><Relationship Id="rId34" Type="http://schemas.openxmlformats.org/officeDocument/2006/relationships/hyperlink" Target="https://files.eric.ed.gov/fulltext/ED565226.pdf" TargetMode="External"/><Relationship Id="rId42" Type="http://schemas.openxmlformats.org/officeDocument/2006/relationships/hyperlink" Target="https://doi.org/10.1177/1049732314523841" TargetMode="External"/><Relationship Id="rId47" Type="http://schemas.openxmlformats.org/officeDocument/2006/relationships/hyperlink" Target="https://sites.ed.gov/idea/IDEA-History" TargetMode="External"/><Relationship Id="rId50" Type="http://schemas.openxmlformats.org/officeDocument/2006/relationships/hyperlink" Target="https://rdsjournal.org/index.php/journal/article/view/1285"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305764X.2016.1142505" TargetMode="External"/><Relationship Id="rId29" Type="http://schemas.openxmlformats.org/officeDocument/2006/relationships/hyperlink" Target="https://doi.org/10.1177/0963721413475622" TargetMode="External"/><Relationship Id="rId11" Type="http://schemas.openxmlformats.org/officeDocument/2006/relationships/hyperlink" Target="https://doi.org/10.3928/19382359-20170918-01" TargetMode="External"/><Relationship Id="rId24" Type="http://schemas.openxmlformats.org/officeDocument/2006/relationships/hyperlink" Target="https://doi.org/10.1111/jar.12466" TargetMode="External"/><Relationship Id="rId32" Type="http://schemas.openxmlformats.org/officeDocument/2006/relationships/hyperlink" Target="https://doi.org/10.3233/JVR-170877" TargetMode="External"/><Relationship Id="rId37" Type="http://schemas.openxmlformats.org/officeDocument/2006/relationships/hyperlink" Target="https://doi.org/10.1007/s10803-019-03972-8" TargetMode="External"/><Relationship Id="rId40" Type="http://schemas.openxmlformats.org/officeDocument/2006/relationships/hyperlink" Target="https://doi.org/10.1352/1944-7558-123.5.412" TargetMode="External"/><Relationship Id="rId45" Type="http://schemas.openxmlformats.org/officeDocument/2006/relationships/hyperlink" Target="https://doi.org/10.1111/jar.12565"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352/1934-9556-58.4.3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014/ajot.2021.044289" TargetMode="External"/><Relationship Id="rId22" Type="http://schemas.openxmlformats.org/officeDocument/2006/relationships/hyperlink" Target="https://doi.org/10.1111/jar.12276" TargetMode="External"/><Relationship Id="rId27" Type="http://schemas.openxmlformats.org/officeDocument/2006/relationships/hyperlink" Target="https://doi.org/10.1177/1540796919863650" TargetMode="External"/><Relationship Id="rId30" Type="http://schemas.openxmlformats.org/officeDocument/2006/relationships/hyperlink" Target="https://doi.org/10.1352/1934-9556-54.6.440" TargetMode="External"/><Relationship Id="rId35" Type="http://schemas.openxmlformats.org/officeDocument/2006/relationships/hyperlink" Target="https://doi.org/10.1177/0741932518778029" TargetMode="External"/><Relationship Id="rId43" Type="http://schemas.openxmlformats.org/officeDocument/2006/relationships/hyperlink" Target="https://doi.org/10.1111/comt.12054" TargetMode="External"/><Relationship Id="rId48" Type="http://schemas.openxmlformats.org/officeDocument/2006/relationships/hyperlink" Target="https://doi.org/10.1007/s40688-016-0112-z"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creativecommons.org/licenses/by/4.0/" TargetMode="External"/><Relationship Id="rId3" Type="http://schemas.openxmlformats.org/officeDocument/2006/relationships/styles" Target="styles.xml"/><Relationship Id="rId12" Type="http://schemas.openxmlformats.org/officeDocument/2006/relationships/hyperlink" Target="https://doi.org/10.1352/1934-9556-51.5.360" TargetMode="External"/><Relationship Id="rId17" Type="http://schemas.openxmlformats.org/officeDocument/2006/relationships/hyperlink" Target="https://doi.org/10.1016/j.apmr.2012.10.031" TargetMode="External"/><Relationship Id="rId25" Type="http://schemas.openxmlformats.org/officeDocument/2006/relationships/hyperlink" Target="https://doi.org/10.1016/j.pedn.2015.05.016" TargetMode="External"/><Relationship Id="rId33" Type="http://schemas.openxmlformats.org/officeDocument/2006/relationships/hyperlink" Target="https://doi.org/10.1177/1044207320943544" TargetMode="External"/><Relationship Id="rId38" Type="http://schemas.openxmlformats.org/officeDocument/2006/relationships/hyperlink" Target="https://doi.org/10.1111/j.1365-2214.2011.01338.x" TargetMode="External"/><Relationship Id="rId46" Type="http://schemas.openxmlformats.org/officeDocument/2006/relationships/hyperlink" Target="https://doi.org/10.1111/jir.12311" TargetMode="External"/><Relationship Id="rId59" Type="http://schemas.openxmlformats.org/officeDocument/2006/relationships/fontTable" Target="fontTable.xml"/><Relationship Id="rId20" Type="http://schemas.openxmlformats.org/officeDocument/2006/relationships/hyperlink" Target="https://doi.org/10.1352/2326-6988-8.2.163" TargetMode="External"/><Relationship Id="rId41" Type="http://schemas.openxmlformats.org/officeDocument/2006/relationships/hyperlink" Target="https://doi.org/10.1080/08856257.2017.141380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014/ajot.2017.024703" TargetMode="External"/><Relationship Id="rId23" Type="http://schemas.openxmlformats.org/officeDocument/2006/relationships/hyperlink" Target="https://doi.org/10.1007/s10826-018-1189-y" TargetMode="External"/><Relationship Id="rId28" Type="http://schemas.openxmlformats.org/officeDocument/2006/relationships/hyperlink" Target="https://doi.org/10.1080/17508487.2016.1186102" TargetMode="External"/><Relationship Id="rId36" Type="http://schemas.openxmlformats.org/officeDocument/2006/relationships/hyperlink" Target="https://doi.org/10.1352/1944-7558-123.4.329" TargetMode="External"/><Relationship Id="rId49" Type="http://schemas.openxmlformats.org/officeDocument/2006/relationships/image" Target="media/image4.png"/><Relationship Id="rId57" Type="http://schemas.openxmlformats.org/officeDocument/2006/relationships/header" Target="header3.xml"/><Relationship Id="rId10" Type="http://schemas.openxmlformats.org/officeDocument/2006/relationships/image" Target="media/image3.png"/><Relationship Id="rId31" Type="http://schemas.openxmlformats.org/officeDocument/2006/relationships/hyperlink" Target="https://ies.ed.gov/ncser/pubs/20113005/pdf/20113005.pdf" TargetMode="External"/><Relationship Id="rId44" Type="http://schemas.openxmlformats.org/officeDocument/2006/relationships/hyperlink" Target="https://doi.org/10.1007/s11414-014-9426-7" TargetMode="External"/><Relationship Id="rId52" Type="http://schemas.openxmlformats.org/officeDocument/2006/relationships/hyperlink" Target="https://rdsjournal.or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8719</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2025-06-06T20:36:00Z</dcterms:created>
  <dcterms:modified xsi:type="dcterms:W3CDTF">2025-06-06T20:36:00Z</dcterms:modified>
</cp:coreProperties>
</file>