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BEE8988" w14:textId="77777777" w:rsidR="00EB3BB3" w:rsidRDefault="00EB3BB3" w:rsidP="00EB3BB3">
      <w:pPr>
        <w:spacing w:line="480" w:lineRule="auto"/>
        <w:ind w:firstLine="0"/>
        <w:jc w:val="center"/>
        <w:rPr>
          <w:b/>
          <w:bCs/>
        </w:rPr>
      </w:pPr>
    </w:p>
    <w:p w14:paraId="2DA71C09" w14:textId="40B2996A" w:rsidR="00EB3BB3" w:rsidRPr="00EB3BB3" w:rsidRDefault="00EB3BB3" w:rsidP="00EB3BB3">
      <w:pPr>
        <w:spacing w:line="480" w:lineRule="auto"/>
        <w:ind w:firstLine="0"/>
        <w:jc w:val="center"/>
        <w:rPr>
          <w:rFonts w:ascii="Arial" w:hAnsi="Arial" w:cs="Arial"/>
          <w:b/>
          <w:bCs/>
        </w:rPr>
      </w:pPr>
      <w:r w:rsidRPr="00EB3BB3">
        <w:rPr>
          <w:rFonts w:ascii="Arial" w:hAnsi="Arial" w:cs="Arial"/>
          <w:b/>
          <w:bCs/>
        </w:rPr>
        <w:t>Research</w:t>
      </w:r>
      <w:r w:rsidR="00030C10">
        <w:rPr>
          <w:rFonts w:ascii="Arial" w:hAnsi="Arial" w:cs="Arial"/>
          <w:b/>
          <w:bCs/>
        </w:rPr>
        <w:t xml:space="preserve"> Articles</w:t>
      </w:r>
      <w:r w:rsidRPr="00EB3BB3">
        <w:rPr>
          <w:rFonts w:ascii="Arial" w:hAnsi="Arial" w:cs="Arial"/>
          <w:b/>
          <w:bCs/>
        </w:rPr>
        <w:t xml:space="preserve"> </w:t>
      </w:r>
      <w:r w:rsidR="00030C10">
        <w:rPr>
          <w:rFonts w:ascii="Arial" w:hAnsi="Arial" w:cs="Arial"/>
          <w:b/>
          <w:bCs/>
        </w:rPr>
        <w:t>and</w:t>
      </w:r>
      <w:r w:rsidRPr="00EB3BB3">
        <w:rPr>
          <w:rFonts w:ascii="Arial" w:hAnsi="Arial" w:cs="Arial"/>
          <w:b/>
          <w:bCs/>
        </w:rPr>
        <w:t xml:space="preserve"> Essays</w:t>
      </w:r>
    </w:p>
    <w:p w14:paraId="3D733E27" w14:textId="77777777" w:rsidR="00EB3BB3" w:rsidRDefault="00EB3BB3" w:rsidP="005B0484">
      <w:pPr>
        <w:spacing w:line="480" w:lineRule="auto"/>
        <w:jc w:val="center"/>
        <w:rPr>
          <w:b/>
          <w:bCs/>
        </w:rPr>
      </w:pPr>
    </w:p>
    <w:p w14:paraId="6E4D64AF" w14:textId="09243EAE" w:rsidR="005B0484" w:rsidRPr="00AD6240" w:rsidRDefault="005B0484" w:rsidP="005B0484">
      <w:pPr>
        <w:spacing w:line="480" w:lineRule="auto"/>
        <w:jc w:val="center"/>
        <w:rPr>
          <w:b/>
          <w:bCs/>
        </w:rPr>
      </w:pPr>
      <w:r w:rsidRPr="00AD6240">
        <w:rPr>
          <w:b/>
          <w:bCs/>
        </w:rPr>
        <w:t>Neuroscience for Neurodiverse Learners:</w:t>
      </w:r>
    </w:p>
    <w:p w14:paraId="2A1C7115" w14:textId="77777777" w:rsidR="005B0484" w:rsidRPr="00AD6240" w:rsidRDefault="005B0484" w:rsidP="005B0484">
      <w:pPr>
        <w:spacing w:line="480" w:lineRule="auto"/>
        <w:jc w:val="center"/>
        <w:rPr>
          <w:b/>
          <w:bCs/>
        </w:rPr>
      </w:pPr>
      <w:r w:rsidRPr="00AD6240">
        <w:rPr>
          <w:b/>
          <w:bCs/>
        </w:rPr>
        <w:t>Lessons Learned about Engaging All Students</w:t>
      </w:r>
    </w:p>
    <w:p w14:paraId="202AEE80" w14:textId="77777777" w:rsidR="005B0484" w:rsidRPr="00C7199E" w:rsidRDefault="005B0484" w:rsidP="005B0484">
      <w:pPr>
        <w:spacing w:line="480" w:lineRule="auto"/>
      </w:pPr>
    </w:p>
    <w:p w14:paraId="2A0C5CFF" w14:textId="77777777" w:rsidR="005B0484" w:rsidRDefault="005B0484" w:rsidP="005B0484">
      <w:pPr>
        <w:spacing w:line="480" w:lineRule="auto"/>
        <w:jc w:val="center"/>
      </w:pPr>
      <w:r w:rsidRPr="00C7199E">
        <w:t>Scott Bellman</w:t>
      </w:r>
    </w:p>
    <w:p w14:paraId="37587AD4" w14:textId="77777777" w:rsidR="005B0484" w:rsidRDefault="005B0484" w:rsidP="005B0484">
      <w:pPr>
        <w:spacing w:line="480" w:lineRule="auto"/>
        <w:jc w:val="center"/>
      </w:pPr>
      <w:r>
        <w:t>Lyla Crawford</w:t>
      </w:r>
    </w:p>
    <w:p w14:paraId="586CE8D6" w14:textId="77777777" w:rsidR="005B0484" w:rsidRPr="00C7199E" w:rsidRDefault="005B0484" w:rsidP="005B0484">
      <w:pPr>
        <w:spacing w:line="480" w:lineRule="auto"/>
        <w:jc w:val="center"/>
      </w:pPr>
      <w:r>
        <w:t xml:space="preserve">Eric H. </w:t>
      </w:r>
      <w:proofErr w:type="spellStart"/>
      <w:r>
        <w:t>Chudler</w:t>
      </w:r>
      <w:proofErr w:type="spellEnd"/>
    </w:p>
    <w:p w14:paraId="652D4111" w14:textId="77777777" w:rsidR="005B0484" w:rsidRDefault="005B0484" w:rsidP="005B0484">
      <w:pPr>
        <w:spacing w:line="480" w:lineRule="auto"/>
        <w:jc w:val="center"/>
      </w:pPr>
      <w:r>
        <w:t>Rajesh P. N. Rao</w:t>
      </w:r>
    </w:p>
    <w:p w14:paraId="1414822F" w14:textId="52CC1557" w:rsidR="005B0484" w:rsidRDefault="005B0484" w:rsidP="00EB3BB3">
      <w:pPr>
        <w:spacing w:line="480" w:lineRule="auto"/>
        <w:jc w:val="center"/>
      </w:pPr>
      <w:r>
        <w:t>University of Washington</w:t>
      </w:r>
    </w:p>
    <w:p w14:paraId="71D30A01" w14:textId="77777777" w:rsidR="005B0484" w:rsidRPr="00480D7F" w:rsidRDefault="005B0484" w:rsidP="005B0484">
      <w:pPr>
        <w:spacing w:after="0" w:line="480" w:lineRule="auto"/>
        <w:jc w:val="center"/>
      </w:pPr>
      <w:r w:rsidRPr="00480D7F">
        <w:rPr>
          <w:b/>
          <w:bCs/>
        </w:rPr>
        <w:t>Acknowledgments</w:t>
      </w:r>
    </w:p>
    <w:p w14:paraId="4833CCC3" w14:textId="77777777" w:rsidR="005B0484" w:rsidRPr="00480D7F" w:rsidRDefault="005B0484" w:rsidP="005B0484">
      <w:pPr>
        <w:spacing w:after="0" w:line="480" w:lineRule="auto"/>
      </w:pPr>
      <w:r w:rsidRPr="00480D7F">
        <w:t xml:space="preserve">The authors of this article would like to thank all the students participating in the program, as well as the staff members for their creativity during the pandemic and their dedication to the work. The </w:t>
      </w:r>
      <w:r w:rsidRPr="00480D7F">
        <w:rPr>
          <w:i/>
          <w:iCs/>
        </w:rPr>
        <w:t>Neuroscience for Neurodiverse Learners</w:t>
      </w:r>
      <w:r w:rsidRPr="00480D7F">
        <w:t xml:space="preserve"> project is funded by the National Science Foundation (grant #DRL-1948591). The authors would also like to acknowledge student input and additional funding for this work from the Eddie Bernice Johnson INCLUDES TAPDINTO-STEM Alliance (NSF# 2119902). Any questions, findings, and conclusions or recommendations expressed in this material are those of the author and do not necessarily reflect the views of the federal government.</w:t>
      </w:r>
    </w:p>
    <w:p w14:paraId="42D03ECA" w14:textId="77777777" w:rsidR="003C5CCA" w:rsidRDefault="003C5CCA" w:rsidP="00EB3BB3">
      <w:pPr>
        <w:spacing w:line="480" w:lineRule="auto"/>
        <w:ind w:firstLine="0"/>
      </w:pPr>
    </w:p>
    <w:p w14:paraId="5168D0F1" w14:textId="77777777" w:rsidR="005B0484" w:rsidRPr="00480D7F" w:rsidRDefault="005B0484" w:rsidP="005B0484">
      <w:pPr>
        <w:spacing w:line="480" w:lineRule="auto"/>
        <w:jc w:val="center"/>
        <w:rPr>
          <w:b/>
          <w:bCs/>
        </w:rPr>
      </w:pPr>
      <w:r w:rsidRPr="00480D7F">
        <w:rPr>
          <w:b/>
          <w:bCs/>
        </w:rPr>
        <w:t>Abstract</w:t>
      </w:r>
    </w:p>
    <w:p w14:paraId="3D249960" w14:textId="77777777" w:rsidR="005B0484" w:rsidRPr="00C7199E" w:rsidRDefault="005B0484" w:rsidP="00EB3BB3">
      <w:pPr>
        <w:spacing w:line="480" w:lineRule="auto"/>
        <w:ind w:firstLine="0"/>
      </w:pPr>
      <w:r>
        <w:t xml:space="preserve">The </w:t>
      </w:r>
      <w:r w:rsidRPr="00AD6240">
        <w:rPr>
          <w:i/>
          <w:iCs/>
        </w:rPr>
        <w:t>Neuroscience for Neurodiverse Learners</w:t>
      </w:r>
      <w:r>
        <w:t xml:space="preserve"> program </w:t>
      </w:r>
      <w:r w:rsidRPr="00C7199E">
        <w:t>provides hands-on experiences and resources to high school and early postsecondary students identified as neurodiver</w:t>
      </w:r>
      <w:r>
        <w:t>gent</w:t>
      </w:r>
      <w:r w:rsidRPr="00C7199E">
        <w:t xml:space="preserve"> learners</w:t>
      </w:r>
      <w:r>
        <w:t>. This article shares lessons learned that can benefit educators seeking to engage neurodivergent learners in the classroom and</w:t>
      </w:r>
      <w:r>
        <w:rPr>
          <w:bCs/>
        </w:rPr>
        <w:t xml:space="preserve"> includes </w:t>
      </w:r>
      <w:r w:rsidRPr="00782EC2">
        <w:rPr>
          <w:bCs/>
        </w:rPr>
        <w:t xml:space="preserve">summary </w:t>
      </w:r>
      <w:r>
        <w:rPr>
          <w:bCs/>
        </w:rPr>
        <w:t>results from</w:t>
      </w:r>
      <w:r w:rsidRPr="00782EC2">
        <w:rPr>
          <w:bCs/>
        </w:rPr>
        <w:t xml:space="preserve"> </w:t>
      </w:r>
      <w:r>
        <w:rPr>
          <w:bCs/>
        </w:rPr>
        <w:t xml:space="preserve">the NNL </w:t>
      </w:r>
      <w:r w:rsidRPr="00782EC2">
        <w:rPr>
          <w:bCs/>
        </w:rPr>
        <w:t>summer program</w:t>
      </w:r>
      <w:r>
        <w:rPr>
          <w:bCs/>
        </w:rPr>
        <w:t>.</w:t>
      </w:r>
    </w:p>
    <w:p w14:paraId="401CB9F6" w14:textId="77777777" w:rsidR="005B0484" w:rsidRDefault="005B0484" w:rsidP="005B0484">
      <w:pPr>
        <w:spacing w:line="480" w:lineRule="auto"/>
        <w:rPr>
          <w:b/>
          <w:bCs/>
        </w:rPr>
      </w:pPr>
      <w:r w:rsidRPr="00EB3BB3">
        <w:rPr>
          <w:i/>
          <w:iCs/>
        </w:rPr>
        <w:t>Keywords:</w:t>
      </w:r>
      <w:r>
        <w:rPr>
          <w:b/>
          <w:bCs/>
        </w:rPr>
        <w:t xml:space="preserve"> </w:t>
      </w:r>
      <w:r>
        <w:t>n</w:t>
      </w:r>
      <w:r w:rsidRPr="006542A8">
        <w:t>eurodivergent</w:t>
      </w:r>
      <w:r>
        <w:t>, disability, STEM</w:t>
      </w:r>
    </w:p>
    <w:p w14:paraId="2916F426" w14:textId="77777777" w:rsidR="005B0484" w:rsidRDefault="005B0484" w:rsidP="005B0484">
      <w:pPr>
        <w:spacing w:line="480" w:lineRule="auto"/>
        <w:jc w:val="center"/>
        <w:rPr>
          <w:b/>
          <w:bCs/>
        </w:rPr>
      </w:pPr>
    </w:p>
    <w:p w14:paraId="70A13137" w14:textId="77777777" w:rsidR="005B0484" w:rsidRDefault="005B0484" w:rsidP="005B0484">
      <w:pPr>
        <w:spacing w:line="480" w:lineRule="auto"/>
        <w:jc w:val="center"/>
        <w:rPr>
          <w:b/>
          <w:bCs/>
        </w:rPr>
      </w:pPr>
    </w:p>
    <w:p w14:paraId="72E9FBE5" w14:textId="77777777" w:rsidR="005B0484" w:rsidRDefault="005B0484" w:rsidP="005B0484">
      <w:pPr>
        <w:spacing w:line="480" w:lineRule="auto"/>
        <w:jc w:val="center"/>
        <w:rPr>
          <w:b/>
          <w:bCs/>
        </w:rPr>
      </w:pPr>
    </w:p>
    <w:p w14:paraId="15717635" w14:textId="77777777" w:rsidR="005B0484" w:rsidRDefault="005B0484" w:rsidP="005B0484">
      <w:pPr>
        <w:spacing w:line="480" w:lineRule="auto"/>
        <w:jc w:val="center"/>
        <w:rPr>
          <w:b/>
          <w:bCs/>
        </w:rPr>
      </w:pPr>
    </w:p>
    <w:p w14:paraId="3CD08607" w14:textId="77777777" w:rsidR="005B0484" w:rsidRDefault="005B0484" w:rsidP="005B0484">
      <w:pPr>
        <w:spacing w:line="480" w:lineRule="auto"/>
        <w:jc w:val="center"/>
        <w:rPr>
          <w:b/>
          <w:bCs/>
        </w:rPr>
      </w:pPr>
    </w:p>
    <w:p w14:paraId="26B28BEB" w14:textId="77777777" w:rsidR="005B0484" w:rsidRDefault="005B0484" w:rsidP="005B0484">
      <w:pPr>
        <w:spacing w:line="480" w:lineRule="auto"/>
        <w:jc w:val="center"/>
        <w:rPr>
          <w:b/>
          <w:bCs/>
        </w:rPr>
      </w:pPr>
    </w:p>
    <w:p w14:paraId="2AAE73E4" w14:textId="77777777" w:rsidR="005B0484" w:rsidRDefault="005B0484" w:rsidP="005B0484">
      <w:pPr>
        <w:spacing w:line="480" w:lineRule="auto"/>
        <w:jc w:val="center"/>
        <w:rPr>
          <w:b/>
          <w:bCs/>
        </w:rPr>
      </w:pPr>
    </w:p>
    <w:p w14:paraId="5EDF6E10" w14:textId="77777777" w:rsidR="005B0484" w:rsidRDefault="005B0484" w:rsidP="003C5CCA">
      <w:pPr>
        <w:spacing w:line="480" w:lineRule="auto"/>
        <w:ind w:firstLine="0"/>
        <w:rPr>
          <w:b/>
          <w:bCs/>
        </w:rPr>
      </w:pPr>
    </w:p>
    <w:p w14:paraId="56E7FEA2" w14:textId="77777777" w:rsidR="003C5CCA" w:rsidRDefault="003C5CCA" w:rsidP="003C5CCA">
      <w:pPr>
        <w:spacing w:line="480" w:lineRule="auto"/>
        <w:jc w:val="center"/>
        <w:rPr>
          <w:b/>
          <w:bCs/>
        </w:rPr>
      </w:pPr>
    </w:p>
    <w:p w14:paraId="68D49571" w14:textId="77777777" w:rsidR="00EB3BB3" w:rsidRDefault="00EB3BB3" w:rsidP="003C5CCA">
      <w:pPr>
        <w:spacing w:line="480" w:lineRule="auto"/>
        <w:jc w:val="center"/>
        <w:rPr>
          <w:b/>
          <w:bCs/>
        </w:rPr>
      </w:pPr>
    </w:p>
    <w:p w14:paraId="51EA4454" w14:textId="77777777" w:rsidR="00EB3BB3" w:rsidRDefault="00EB3BB3" w:rsidP="003C5CCA">
      <w:pPr>
        <w:spacing w:line="480" w:lineRule="auto"/>
        <w:jc w:val="center"/>
        <w:rPr>
          <w:b/>
          <w:bCs/>
        </w:rPr>
      </w:pPr>
    </w:p>
    <w:p w14:paraId="06C1E30B" w14:textId="4A05ADC3" w:rsidR="003C5CCA" w:rsidRDefault="005B0484" w:rsidP="003C5CCA">
      <w:pPr>
        <w:spacing w:line="480" w:lineRule="auto"/>
        <w:jc w:val="center"/>
        <w:rPr>
          <w:b/>
          <w:bCs/>
        </w:rPr>
      </w:pPr>
      <w:r w:rsidRPr="00AD6240">
        <w:rPr>
          <w:b/>
          <w:bCs/>
        </w:rPr>
        <w:lastRenderedPageBreak/>
        <w:t>Neuroscience for Neurodiverse Learners:</w:t>
      </w:r>
    </w:p>
    <w:p w14:paraId="7B681EC5" w14:textId="1034ED4B" w:rsidR="005B0484" w:rsidRPr="00AD6240" w:rsidRDefault="005B0484" w:rsidP="003C5CCA">
      <w:pPr>
        <w:spacing w:line="480" w:lineRule="auto"/>
        <w:jc w:val="center"/>
        <w:rPr>
          <w:b/>
          <w:bCs/>
        </w:rPr>
      </w:pPr>
      <w:r w:rsidRPr="00AD6240">
        <w:rPr>
          <w:b/>
          <w:bCs/>
        </w:rPr>
        <w:t>Lessons Learned about Engaging All Students</w:t>
      </w:r>
    </w:p>
    <w:p w14:paraId="6471530A" w14:textId="77777777" w:rsidR="005B0484" w:rsidRPr="00AB0344" w:rsidRDefault="005B0484" w:rsidP="005B0484">
      <w:pPr>
        <w:spacing w:line="480" w:lineRule="auto"/>
      </w:pPr>
      <w:r w:rsidRPr="00AB0344">
        <w:t xml:space="preserve">The University of Washington (UW) received funding from the National Science Foundation (NSF) Innovative Technology Experiences for Students and Teachers (ITEST) program for a project called </w:t>
      </w:r>
      <w:r w:rsidRPr="00AB0344">
        <w:rPr>
          <w:i/>
          <w:iCs/>
        </w:rPr>
        <w:t>Neuroscience for Neurodiverse Learners (NNL).</w:t>
      </w:r>
      <w:r w:rsidRPr="00AB0344">
        <w:t xml:space="preserve"> </w:t>
      </w:r>
      <w:r w:rsidRPr="00AB0344">
        <w:rPr>
          <w:i/>
          <w:iCs/>
        </w:rPr>
        <w:t>NNL</w:t>
      </w:r>
      <w:r w:rsidRPr="00AB0344">
        <w:t xml:space="preserve"> provides hands-on experiences in the field of neuroscience, networking opportunities, and resources to high school and early postsecondary students identified as “neurodivergent” learners—those with academic challenges related to conditions such as dyspraxia, dyslexia, attention deficit hyperactivity disorder, dyscalculia, autism spectrum disorder, and Tourette syndrome</w:t>
      </w:r>
      <w:r>
        <w:t>. The project also</w:t>
      </w:r>
      <w:r w:rsidRPr="00AB0344">
        <w:t xml:space="preserve"> disseminates findings to teachers of neuroscience and related courses, and, more broadly, to science, technology, engineering, and mathematics (STEM) teachers. </w:t>
      </w:r>
    </w:p>
    <w:p w14:paraId="6A8BA0FD" w14:textId="77777777" w:rsidR="005B0484" w:rsidRPr="00AB0344" w:rsidRDefault="005B0484" w:rsidP="005B0484">
      <w:pPr>
        <w:spacing w:line="480" w:lineRule="auto"/>
      </w:pPr>
      <w:r>
        <w:t>The project is led through a collaborative effort between</w:t>
      </w:r>
      <w:r w:rsidRPr="00AB0344">
        <w:t xml:space="preserve"> the UW Disabilities, Opportunities, Internetworking, and Technology (DO-IT) Center and the UW Center for Neurotechnology (CNT)</w:t>
      </w:r>
      <w:r>
        <w:t>. DO-IT has a 30-year history of helping empower students with disabilities to pursue challenging academics and careers. The CNT is</w:t>
      </w:r>
      <w:r w:rsidRPr="006C6A12">
        <w:t xml:space="preserve"> one of several Engineering Research Centers across the country</w:t>
      </w:r>
      <w:r>
        <w:t>, originally funded by the</w:t>
      </w:r>
      <w:r w:rsidRPr="006C6A12">
        <w:t xml:space="preserve"> National Science Foundation.</w:t>
      </w:r>
      <w:r>
        <w:t xml:space="preserve"> </w:t>
      </w:r>
      <w:r w:rsidRPr="00AB0344">
        <w:t xml:space="preserve">This article shares lessons learned through the </w:t>
      </w:r>
      <w:r>
        <w:t xml:space="preserve">continuing </w:t>
      </w:r>
      <w:r w:rsidRPr="00AB0344">
        <w:t>DO-IT and CNT partnership, building on previous work (Bellman, et al., 2018).</w:t>
      </w:r>
    </w:p>
    <w:p w14:paraId="09ABFB81" w14:textId="77777777" w:rsidR="005B0484" w:rsidRPr="00833B61" w:rsidRDefault="005B0484" w:rsidP="005B0484">
      <w:pPr>
        <w:spacing w:line="480" w:lineRule="auto"/>
      </w:pPr>
      <w:r w:rsidRPr="00AB0344">
        <w:t xml:space="preserve">Grounded in theory and research, the </w:t>
      </w:r>
      <w:r w:rsidRPr="00AB0344">
        <w:rPr>
          <w:i/>
          <w:iCs/>
        </w:rPr>
        <w:t>NNL</w:t>
      </w:r>
      <w:r w:rsidRPr="00AB0344">
        <w:t xml:space="preserve"> project takes a student-centered approach that embraces cutting-edge </w:t>
      </w:r>
      <w:r w:rsidRPr="00833B61">
        <w:t>neuroscience, the social model of disability, social justice education, disability as a diversity issue, universal design, and a multi-faceted view of student engagement and retention. The project seeks to achieve the following two goals:</w:t>
      </w:r>
    </w:p>
    <w:p w14:paraId="25DC456D" w14:textId="77777777" w:rsidR="005B0484" w:rsidRPr="00833B61" w:rsidRDefault="005B0484" w:rsidP="005B0484">
      <w:pPr>
        <w:pStyle w:val="ListParagraph"/>
        <w:numPr>
          <w:ilvl w:val="0"/>
          <w:numId w:val="3"/>
        </w:numPr>
        <w:spacing w:after="0" w:line="480" w:lineRule="auto"/>
        <w:rPr>
          <w:rFonts w:ascii="Times New Roman" w:hAnsi="Times New Roman" w:cs="Times New Roman"/>
        </w:rPr>
      </w:pPr>
      <w:r w:rsidRPr="00833B61">
        <w:rPr>
          <w:rFonts w:ascii="Times New Roman" w:hAnsi="Times New Roman" w:cs="Times New Roman"/>
        </w:rPr>
        <w:lastRenderedPageBreak/>
        <w:t xml:space="preserve">College-capable neurodivergent students, through engagement in neuroscience experiences, will gain knowledge about and interest in challenging STEM fields. They will practice communication skills (e.g., for scientific presentations, communication with faculty about disability-related accommodations, </w:t>
      </w:r>
      <w:r>
        <w:rPr>
          <w:rFonts w:ascii="Times New Roman" w:hAnsi="Times New Roman" w:cs="Times New Roman"/>
        </w:rPr>
        <w:t xml:space="preserve">and </w:t>
      </w:r>
      <w:r w:rsidRPr="00833B61">
        <w:rPr>
          <w:rFonts w:ascii="Times New Roman" w:hAnsi="Times New Roman" w:cs="Times New Roman"/>
        </w:rPr>
        <w:t>job interviews) that will prepare them for college and careers.</w:t>
      </w:r>
    </w:p>
    <w:p w14:paraId="0E603DF8" w14:textId="77777777" w:rsidR="005B0484" w:rsidRPr="00833B61" w:rsidRDefault="005B0484" w:rsidP="005B0484">
      <w:pPr>
        <w:pStyle w:val="ListParagraph"/>
        <w:numPr>
          <w:ilvl w:val="0"/>
          <w:numId w:val="3"/>
        </w:numPr>
        <w:spacing w:after="0" w:line="480" w:lineRule="auto"/>
        <w:rPr>
          <w:rFonts w:ascii="Times New Roman" w:hAnsi="Times New Roman" w:cs="Times New Roman"/>
        </w:rPr>
      </w:pPr>
      <w:r w:rsidRPr="00833B61">
        <w:rPr>
          <w:rFonts w:ascii="Times New Roman" w:hAnsi="Times New Roman" w:cs="Times New Roman"/>
        </w:rPr>
        <w:t xml:space="preserve">Educators and other stakeholders will develop or enhance strategies for teaching neurodivergent learners (e.g., universal design, academic accommodations) and engage in activities designed to encourage neurodivergent learners to participate in STEM fields. </w:t>
      </w:r>
    </w:p>
    <w:p w14:paraId="1D35FEA1" w14:textId="7E7D413B" w:rsidR="005B0484" w:rsidRPr="00833B61" w:rsidRDefault="005B0484" w:rsidP="005B0484">
      <w:pPr>
        <w:spacing w:line="480" w:lineRule="auto"/>
      </w:pPr>
      <w:r w:rsidRPr="00833B61">
        <w:t xml:space="preserve">Project strategies include hands-on and technology-rich activities, </w:t>
      </w:r>
      <w:proofErr w:type="gramStart"/>
      <w:r w:rsidRPr="00833B61">
        <w:t>team-building</w:t>
      </w:r>
      <w:proofErr w:type="gramEnd"/>
      <w:r w:rsidRPr="00833B61">
        <w:t xml:space="preserve">, problem-solving, communities of engagement, and mentoring activities for neurodivergent students; professional development for educators; and resources for multiple stakeholders. </w:t>
      </w:r>
      <w:r w:rsidRPr="00833B61">
        <w:rPr>
          <w:i/>
          <w:iCs/>
        </w:rPr>
        <w:t>NNL</w:t>
      </w:r>
      <w:r w:rsidRPr="00833B61">
        <w:t xml:space="preserve"> applies lessons learned in earlier </w:t>
      </w:r>
      <w:r>
        <w:t xml:space="preserve">DO-IT </w:t>
      </w:r>
      <w:r w:rsidRPr="00833B61">
        <w:t>efforts to develop and implement engaging, intrinsically motivating, potentially transformative content that will increase the knowledge and skills of neurodivergent students and ultimately build capacity within formal and informal academic settings to motivate these students to pursue neuroscience and, more broadly, STEM fields. This article focuses on lessons learned from working with neurodivergent students and shares preliminary evaluation outcomes regarding students. These data were presented previously at the 2024 Pacific Rim International Conference on Disability and Diversity.</w:t>
      </w:r>
    </w:p>
    <w:p w14:paraId="3B762E6C" w14:textId="77777777" w:rsidR="005B0484" w:rsidRPr="00833B61" w:rsidRDefault="005B0484" w:rsidP="005B0484">
      <w:pPr>
        <w:spacing w:line="480" w:lineRule="auto"/>
        <w:jc w:val="center"/>
        <w:rPr>
          <w:b/>
          <w:bCs/>
        </w:rPr>
      </w:pPr>
      <w:r w:rsidRPr="00833B61">
        <w:rPr>
          <w:b/>
          <w:bCs/>
        </w:rPr>
        <w:t xml:space="preserve">Frameworks </w:t>
      </w:r>
    </w:p>
    <w:p w14:paraId="684A3CB3" w14:textId="0CDEFDB8" w:rsidR="003C5CCA" w:rsidRPr="003C5CCA" w:rsidRDefault="005B0484" w:rsidP="003C5CCA">
      <w:pPr>
        <w:spacing w:line="480" w:lineRule="auto"/>
      </w:pPr>
      <w:r w:rsidRPr="00833B61">
        <w:t xml:space="preserve"> Traditional efforts to assist individuals with disabilities embrace a “medical model” of disability that focus on the “deficit” of the individual and how the person can be rehabilitated or accommodated so that he or she can fit into an established environment </w:t>
      </w:r>
      <w:r w:rsidRPr="00833B61">
        <w:lastRenderedPageBreak/>
        <w:t xml:space="preserve">(Loewen &amp; Pollard, 2010; Moriarty, 2007). In contrast, the “social model” of disability and other integrated approaches within the field of disability studies (DePoy &amp; Gibson, 2008a, b; Gabel &amp; Peters, 2010), consider variations in abilities—like those with respect to gender, race, and ethnicity—to be a natural part of the human experience and suggest that products and environments should be designed in ways that make them welcoming and accessible to everyone. The </w:t>
      </w:r>
      <w:r w:rsidRPr="00833B61">
        <w:rPr>
          <w:i/>
        </w:rPr>
        <w:t>NNL</w:t>
      </w:r>
      <w:r w:rsidRPr="00833B61">
        <w:t xml:space="preserve"> project creates, tests, and disseminates activities and products that are aligned with the social justice model of disability, social justice education, disability as a diversity issue, the characteristics and needs of neurodivergent learners, and universal design. Universal design (UD)—defined as “the design of products and environments to be usable by all people, to the greatest extent possible, without the need for adaptation or specialized design”—is an approach that is consistent with the social justice model of disability and has the potential to reduce the need for individual accommodations (Center for Universal Design, 1997; </w:t>
      </w:r>
      <w:proofErr w:type="spellStart"/>
      <w:r w:rsidRPr="00833B61">
        <w:t>Burgstahler</w:t>
      </w:r>
      <w:proofErr w:type="spellEnd"/>
      <w:r w:rsidRPr="00833B61">
        <w:t>, 2011, 2015). UD challenges society to construct a world where everyone can participate with maximum independence (Loewen &amp; Pollard, 2010). Social justice education is an educational philosophy committed to equity and social change, with its goals clustering around social responsibility, student empowerment, and equitable distribution of resources (Loewen &amp; Pollard, 2010).</w:t>
      </w:r>
    </w:p>
    <w:p w14:paraId="021A36F6" w14:textId="77777777" w:rsidR="005B0484" w:rsidRDefault="005B0484" w:rsidP="005B0484">
      <w:pPr>
        <w:spacing w:line="480" w:lineRule="auto"/>
        <w:jc w:val="center"/>
        <w:rPr>
          <w:b/>
          <w:bCs/>
        </w:rPr>
      </w:pPr>
      <w:r w:rsidRPr="00833B61">
        <w:rPr>
          <w:b/>
          <w:bCs/>
        </w:rPr>
        <w:t>Identified Needs</w:t>
      </w:r>
    </w:p>
    <w:p w14:paraId="42BB3CC8" w14:textId="0AF0D384" w:rsidR="005B0484" w:rsidRPr="003C5CCA" w:rsidRDefault="003C5CCA" w:rsidP="003C5CCA">
      <w:pPr>
        <w:spacing w:line="480" w:lineRule="auto"/>
        <w:rPr>
          <w:b/>
          <w:bCs/>
        </w:rPr>
      </w:pPr>
      <w:r w:rsidRPr="00833B61">
        <w:rPr>
          <w:color w:val="000000" w:themeColor="text1"/>
        </w:rPr>
        <w:t>To fill increasing numbers of positions in STEM fields and develop a more robust STEM workforce (</w:t>
      </w:r>
      <w:r w:rsidRPr="00833B61">
        <w:t xml:space="preserve">CEOSE, 2011; </w:t>
      </w:r>
      <w:proofErr w:type="spellStart"/>
      <w:r w:rsidRPr="00833B61">
        <w:t>Hecher</w:t>
      </w:r>
      <w:proofErr w:type="spellEnd"/>
      <w:r w:rsidRPr="00833B61">
        <w:t>, 2005; Office of Science and Technology Policy, 2006)</w:t>
      </w:r>
      <w:r w:rsidRPr="00833B61">
        <w:rPr>
          <w:color w:val="000000" w:themeColor="text1"/>
        </w:rPr>
        <w:t>, the US must draw from a talent pool that includes all demographic groups, including those with disabilities</w:t>
      </w:r>
      <w:r w:rsidR="005B0484" w:rsidRPr="00833B61">
        <w:rPr>
          <w:color w:val="000000" w:themeColor="text1"/>
        </w:rPr>
        <w:t xml:space="preserve">(AAAS, 2001; Congressional Commission…, 2000). Although increasing numbers of individuals with disabilities are attending college, at times they experience less academic and career success than other students (National Council…, 2000; </w:t>
      </w:r>
      <w:r w:rsidR="005B0484" w:rsidRPr="00833B61">
        <w:rPr>
          <w:color w:val="000000" w:themeColor="text1"/>
        </w:rPr>
        <w:lastRenderedPageBreak/>
        <w:t>NSF, 2023</w:t>
      </w:r>
      <w:r w:rsidR="005B0484">
        <w:rPr>
          <w:color w:val="000000" w:themeColor="text1"/>
        </w:rPr>
        <w:t>b</w:t>
      </w:r>
      <w:r w:rsidR="005B0484" w:rsidRPr="00833B61">
        <w:rPr>
          <w:color w:val="000000" w:themeColor="text1"/>
        </w:rPr>
        <w:t>; Office of Disability Employment Policy, 2001).</w:t>
      </w:r>
    </w:p>
    <w:p w14:paraId="24178E17" w14:textId="77777777" w:rsidR="005B0484" w:rsidRPr="00C7199E" w:rsidRDefault="005B0484" w:rsidP="005B0484">
      <w:pPr>
        <w:spacing w:line="480" w:lineRule="auto"/>
      </w:pPr>
      <w:r w:rsidRPr="00833B61">
        <w:rPr>
          <w:color w:val="000000" w:themeColor="text1"/>
        </w:rPr>
        <w:t xml:space="preserve">High-tech careers are possible for individuals with disabilities, including neurodivergent learners, due in part to advancements in assistive technologies that provide access to information technology (IT). The success stories of the relatively few individuals with disabilities who are in STEM fields demonstrate the potential that these individuals </w:t>
      </w:r>
      <w:proofErr w:type="gramStart"/>
      <w:r w:rsidRPr="00833B61">
        <w:rPr>
          <w:color w:val="000000" w:themeColor="text1"/>
        </w:rPr>
        <w:t>have to</w:t>
      </w:r>
      <w:proofErr w:type="gramEnd"/>
      <w:r w:rsidRPr="00833B61">
        <w:rPr>
          <w:color w:val="000000" w:themeColor="text1"/>
        </w:rPr>
        <w:t xml:space="preserve"> contribute significantly to STEM disciplines (Bellman &amp; </w:t>
      </w:r>
      <w:proofErr w:type="spellStart"/>
      <w:r w:rsidRPr="00833B61">
        <w:rPr>
          <w:color w:val="000000" w:themeColor="text1"/>
        </w:rPr>
        <w:t>Burgstahler</w:t>
      </w:r>
      <w:proofErr w:type="spellEnd"/>
      <w:r w:rsidRPr="00833B61">
        <w:rPr>
          <w:color w:val="000000" w:themeColor="text1"/>
        </w:rPr>
        <w:t xml:space="preserve">, 2016; Dreyfus, 2009; </w:t>
      </w:r>
      <w:proofErr w:type="spellStart"/>
      <w:r w:rsidRPr="00833B61">
        <w:rPr>
          <w:color w:val="000000" w:themeColor="text1"/>
        </w:rPr>
        <w:t>Helft</w:t>
      </w:r>
      <w:proofErr w:type="spellEnd"/>
      <w:r w:rsidRPr="00833B61">
        <w:rPr>
          <w:color w:val="000000" w:themeColor="text1"/>
        </w:rPr>
        <w:t>, 2009; Misner, et al., 1995). Diversity in STEM fields is beneficial not only to specific underrepresented groups, but to the fields themselves. Teams of professionals composed of individuals with diverse skills, experiences, and perspectives are better able to identify multiple ways to solve problems (Beck &amp; Andres, 2005; Hazzan &amp; Dubinsky, 2006; Taylor &amp; Ladner, 2011), thus promoting NSF’s mandate to support “the best ideas from the most capable researchers and educators, now and in the future” (Congressional Commission…, 2000).</w:t>
      </w:r>
      <w:r w:rsidRPr="00833B61">
        <w:rPr>
          <w:color w:val="000000" w:themeColor="text1"/>
          <w:vertAlign w:val="superscript"/>
        </w:rPr>
        <w:t xml:space="preserve"> </w:t>
      </w:r>
      <w:r w:rsidRPr="00833B61">
        <w:rPr>
          <w:color w:val="000000" w:themeColor="text1"/>
        </w:rPr>
        <w:t>Efforts should be made to increase participation in STEM by citizens with disabilities since, according to NSF, underrepresentation causes a loss of opportunity for individuals, a loss of talent to the workforce, and a loss of diverse perspectives and creativity that are needed to shape the future of technology (NSF, 2023</w:t>
      </w:r>
      <w:r>
        <w:rPr>
          <w:color w:val="000000" w:themeColor="text1"/>
        </w:rPr>
        <w:t>a</w:t>
      </w:r>
      <w:r w:rsidRPr="00833B61">
        <w:rPr>
          <w:color w:val="000000" w:themeColor="text1"/>
        </w:rPr>
        <w:t>). Technology companies have recognized the capacity of neurodivergent individuals, especially those with autism spectrum disorder, to contribute to their mission, yet report difficulties in recruiting work-ready job applicants with neurodiversity (Ladner, 2016). Many companies, including Microsoft (n.d.), SAP (n.d.), SAS (</w:t>
      </w:r>
      <w:r>
        <w:rPr>
          <w:color w:val="000000" w:themeColor="text1"/>
        </w:rPr>
        <w:t>n.d.</w:t>
      </w:r>
      <w:r w:rsidRPr="00833B61">
        <w:rPr>
          <w:color w:val="000000" w:themeColor="text1"/>
        </w:rPr>
        <w:t xml:space="preserve">), </w:t>
      </w:r>
      <w:r>
        <w:rPr>
          <w:color w:val="000000" w:themeColor="text1"/>
        </w:rPr>
        <w:t>DXC Technology</w:t>
      </w:r>
      <w:r w:rsidRPr="00C7199E">
        <w:rPr>
          <w:color w:val="000000" w:themeColor="text1"/>
        </w:rPr>
        <w:t xml:space="preserve"> </w:t>
      </w:r>
      <w:r>
        <w:rPr>
          <w:color w:val="000000" w:themeColor="text1"/>
        </w:rPr>
        <w:t>(n.d.),</w:t>
      </w:r>
      <w:r w:rsidRPr="00C7199E">
        <w:rPr>
          <w:color w:val="000000" w:themeColor="text1"/>
        </w:rPr>
        <w:t xml:space="preserve"> have undertaken programs to recruit neurodiver</w:t>
      </w:r>
      <w:r>
        <w:rPr>
          <w:color w:val="000000" w:themeColor="text1"/>
        </w:rPr>
        <w:t>gent</w:t>
      </w:r>
      <w:r w:rsidRPr="00C7199E">
        <w:rPr>
          <w:color w:val="000000" w:themeColor="text1"/>
        </w:rPr>
        <w:t xml:space="preserve"> employees.</w:t>
      </w:r>
    </w:p>
    <w:p w14:paraId="36B2D323" w14:textId="77777777" w:rsidR="005B0484" w:rsidRDefault="005B0484" w:rsidP="005B0484">
      <w:pPr>
        <w:pStyle w:val="BodyText11"/>
        <w:tabs>
          <w:tab w:val="clear" w:pos="1440"/>
          <w:tab w:val="left" w:pos="720"/>
        </w:tabs>
        <w:spacing w:after="220" w:line="480" w:lineRule="auto"/>
        <w:rPr>
          <w:rFonts w:cs="Times New Roman"/>
          <w:color w:val="000000" w:themeColor="text1"/>
          <w:sz w:val="24"/>
          <w:szCs w:val="24"/>
        </w:rPr>
      </w:pPr>
      <w:r>
        <w:rPr>
          <w:rFonts w:cs="Times New Roman"/>
          <w:sz w:val="24"/>
          <w:szCs w:val="24"/>
        </w:rPr>
        <w:tab/>
      </w:r>
      <w:r w:rsidRPr="007D0177">
        <w:rPr>
          <w:rFonts w:cs="Times New Roman"/>
          <w:sz w:val="24"/>
          <w:szCs w:val="24"/>
        </w:rPr>
        <w:t xml:space="preserve">Additionally, there is a need for science curriculum that is exciting for a diverse audience. </w:t>
      </w:r>
      <w:r w:rsidRPr="007D0177">
        <w:rPr>
          <w:rFonts w:cs="Times New Roman"/>
          <w:color w:val="000000" w:themeColor="text1"/>
          <w:sz w:val="24"/>
          <w:szCs w:val="24"/>
        </w:rPr>
        <w:t>Some students do not</w:t>
      </w:r>
      <w:r w:rsidRPr="00C7199E">
        <w:rPr>
          <w:rFonts w:cs="Times New Roman"/>
          <w:color w:val="000000" w:themeColor="text1"/>
          <w:sz w:val="24"/>
          <w:szCs w:val="24"/>
        </w:rPr>
        <w:t xml:space="preserve"> pursue STEM disciplines because they have not been encouraged to do so, they are not motivated by the content, they are unaware of the broad </w:t>
      </w:r>
      <w:r w:rsidRPr="00C7199E">
        <w:rPr>
          <w:rFonts w:cs="Times New Roman"/>
          <w:color w:val="000000" w:themeColor="text1"/>
          <w:sz w:val="24"/>
          <w:szCs w:val="24"/>
        </w:rPr>
        <w:lastRenderedPageBreak/>
        <w:t>range of careers in STEM fields, they lack role models and mentors in these fields, or they expect careers in these areas to be boring and/or unrewarding</w:t>
      </w:r>
      <w:r>
        <w:rPr>
          <w:rFonts w:cs="Times New Roman"/>
          <w:color w:val="000000" w:themeColor="text1"/>
          <w:sz w:val="24"/>
          <w:szCs w:val="24"/>
        </w:rPr>
        <w:t xml:space="preserve"> (</w:t>
      </w:r>
      <w:r w:rsidRPr="00991218">
        <w:rPr>
          <w:rFonts w:cs="Times New Roman"/>
          <w:color w:val="000000" w:themeColor="text1"/>
          <w:sz w:val="24"/>
          <w:szCs w:val="24"/>
        </w:rPr>
        <w:t xml:space="preserve">Gupta &amp; </w:t>
      </w:r>
      <w:proofErr w:type="spellStart"/>
      <w:r w:rsidRPr="00991218">
        <w:rPr>
          <w:rFonts w:cs="Times New Roman"/>
          <w:color w:val="000000" w:themeColor="text1"/>
          <w:sz w:val="24"/>
          <w:szCs w:val="24"/>
        </w:rPr>
        <w:t>Houtz</w:t>
      </w:r>
      <w:proofErr w:type="spellEnd"/>
      <w:r w:rsidRPr="00991218">
        <w:rPr>
          <w:rFonts w:cs="Times New Roman"/>
          <w:color w:val="000000" w:themeColor="text1"/>
          <w:sz w:val="24"/>
          <w:szCs w:val="24"/>
        </w:rPr>
        <w:t>, 2000; Jacobs &amp; Simpkins, 2006; Kerry, 2013; Kiernan, 2000; Thomas, 2004; Yardi &amp; Bruckman, 2007)</w:t>
      </w:r>
      <w:r w:rsidRPr="00C7199E">
        <w:rPr>
          <w:rFonts w:cs="Times New Roman"/>
          <w:bCs w:val="0"/>
          <w:color w:val="000000" w:themeColor="text1"/>
          <w:sz w:val="24"/>
          <w:szCs w:val="24"/>
        </w:rPr>
        <w:t xml:space="preserve">. </w:t>
      </w:r>
      <w:r w:rsidRPr="00796F8E">
        <w:rPr>
          <w:rFonts w:cs="Times New Roman"/>
          <w:bCs w:val="0"/>
          <w:color w:val="auto"/>
          <w:sz w:val="24"/>
          <w:szCs w:val="24"/>
        </w:rPr>
        <w:t xml:space="preserve">For </w:t>
      </w:r>
      <w:r w:rsidRPr="00796F8E">
        <w:rPr>
          <w:rFonts w:cs="Times New Roman"/>
          <w:color w:val="auto"/>
          <w:sz w:val="24"/>
          <w:szCs w:val="24"/>
        </w:rPr>
        <w:t xml:space="preserve">example, a </w:t>
      </w:r>
      <w:r w:rsidRPr="00C7199E">
        <w:rPr>
          <w:rFonts w:cs="Times New Roman"/>
          <w:color w:val="000000" w:themeColor="text1"/>
          <w:sz w:val="24"/>
          <w:szCs w:val="24"/>
        </w:rPr>
        <w:t>significant disconnect has been observed between the perceptions of precollege students (who perceive computing careers as "boring, solitary, and lacking real-world context") and those of graduate students in computing (who consider their research "exciting, social, and having a direct and meaningful impact on the world around them</w:t>
      </w:r>
      <w:r>
        <w:rPr>
          <w:rFonts w:cs="Times New Roman"/>
          <w:color w:val="000000" w:themeColor="text1"/>
          <w:sz w:val="24"/>
          <w:szCs w:val="24"/>
        </w:rPr>
        <w:t>;</w:t>
      </w:r>
      <w:r w:rsidRPr="00C7199E">
        <w:rPr>
          <w:rFonts w:cs="Times New Roman"/>
          <w:color w:val="000000" w:themeColor="text1"/>
          <w:sz w:val="24"/>
          <w:szCs w:val="24"/>
        </w:rPr>
        <w:t>"</w:t>
      </w:r>
      <w:r>
        <w:rPr>
          <w:rFonts w:cs="Times New Roman"/>
          <w:color w:val="000000" w:themeColor="text1"/>
          <w:sz w:val="24"/>
          <w:szCs w:val="24"/>
        </w:rPr>
        <w:t xml:space="preserve"> Yardi &amp; Bruckman, 2007),</w:t>
      </w:r>
      <w:r w:rsidRPr="00C7199E">
        <w:rPr>
          <w:rFonts w:cs="Times New Roman"/>
          <w:color w:val="000000" w:themeColor="text1"/>
          <w:sz w:val="24"/>
          <w:szCs w:val="24"/>
        </w:rPr>
        <w:t xml:space="preserve"> Students who experience intrinsic motivation in academic areas tend to be more interested in pursuing them</w:t>
      </w:r>
      <w:r>
        <w:rPr>
          <w:rFonts w:cs="Times New Roman"/>
          <w:color w:val="000000" w:themeColor="text1"/>
          <w:sz w:val="24"/>
          <w:szCs w:val="24"/>
        </w:rPr>
        <w:t xml:space="preserve"> (</w:t>
      </w:r>
      <w:r w:rsidRPr="00991218">
        <w:rPr>
          <w:rFonts w:cs="Times New Roman"/>
          <w:color w:val="000000" w:themeColor="text1"/>
          <w:sz w:val="24"/>
          <w:szCs w:val="24"/>
        </w:rPr>
        <w:t>Amabile, 2002</w:t>
      </w:r>
      <w:r>
        <w:rPr>
          <w:rFonts w:cs="Times New Roman"/>
          <w:color w:val="000000" w:themeColor="text1"/>
          <w:sz w:val="24"/>
          <w:szCs w:val="24"/>
        </w:rPr>
        <w:t>).</w:t>
      </w:r>
      <w:r w:rsidRPr="00C7199E">
        <w:rPr>
          <w:rFonts w:cs="Times New Roman"/>
          <w:color w:val="000000" w:themeColor="text1"/>
          <w:sz w:val="24"/>
          <w:szCs w:val="24"/>
        </w:rPr>
        <w:t xml:space="preserve"> To draw </w:t>
      </w:r>
      <w:r>
        <w:rPr>
          <w:rFonts w:cs="Times New Roman"/>
          <w:color w:val="000000" w:themeColor="text1"/>
          <w:sz w:val="24"/>
          <w:szCs w:val="24"/>
        </w:rPr>
        <w:t>women</w:t>
      </w:r>
      <w:r w:rsidRPr="00C7199E">
        <w:rPr>
          <w:rFonts w:cs="Times New Roman"/>
          <w:color w:val="000000" w:themeColor="text1"/>
          <w:sz w:val="24"/>
          <w:szCs w:val="24"/>
        </w:rPr>
        <w:t xml:space="preserve"> into STEM fields, it has been recommended that they be shown how work in these fields improves the lives of others</w:t>
      </w:r>
      <w:r>
        <w:rPr>
          <w:rFonts w:cs="Times New Roman"/>
          <w:color w:val="000000" w:themeColor="text1"/>
          <w:sz w:val="24"/>
          <w:szCs w:val="24"/>
        </w:rPr>
        <w:t xml:space="preserve"> (Cohoon, 2007)</w:t>
      </w:r>
      <w:r w:rsidRPr="00C7199E">
        <w:rPr>
          <w:rFonts w:cs="Times New Roman"/>
          <w:color w:val="000000" w:themeColor="text1"/>
          <w:sz w:val="24"/>
          <w:szCs w:val="24"/>
        </w:rPr>
        <w:t>. Leaders in the DO-IT Center have made observations that suggest this is true of neurodiver</w:t>
      </w:r>
      <w:r>
        <w:rPr>
          <w:rFonts w:cs="Times New Roman"/>
          <w:color w:val="000000" w:themeColor="text1"/>
          <w:sz w:val="24"/>
          <w:szCs w:val="24"/>
        </w:rPr>
        <w:t>gent</w:t>
      </w:r>
      <w:r w:rsidRPr="00C7199E">
        <w:rPr>
          <w:rFonts w:cs="Times New Roman"/>
          <w:color w:val="000000" w:themeColor="text1"/>
          <w:sz w:val="24"/>
          <w:szCs w:val="24"/>
        </w:rPr>
        <w:t xml:space="preserve"> students as well.</w:t>
      </w:r>
    </w:p>
    <w:p w14:paraId="014BEC1D" w14:textId="48355F53" w:rsidR="005B0484" w:rsidRPr="00A06B7A" w:rsidRDefault="005B0484" w:rsidP="005B0484">
      <w:pPr>
        <w:pStyle w:val="BodyText11"/>
        <w:tabs>
          <w:tab w:val="clear" w:pos="1440"/>
          <w:tab w:val="left" w:pos="720"/>
        </w:tabs>
        <w:spacing w:after="220" w:line="480" w:lineRule="auto"/>
        <w:rPr>
          <w:rFonts w:cs="Times New Roman"/>
          <w:color w:val="000000" w:themeColor="text1"/>
          <w:sz w:val="24"/>
          <w:szCs w:val="24"/>
        </w:rPr>
      </w:pPr>
      <w:r>
        <w:rPr>
          <w:rFonts w:cs="Times New Roman"/>
          <w:color w:val="000000" w:themeColor="text1"/>
          <w:sz w:val="24"/>
          <w:szCs w:val="24"/>
        </w:rPr>
        <w:tab/>
      </w:r>
      <w:r w:rsidRPr="00C7199E">
        <w:rPr>
          <w:rFonts w:cs="Times New Roman"/>
          <w:color w:val="000000" w:themeColor="text1"/>
          <w:sz w:val="24"/>
          <w:szCs w:val="24"/>
        </w:rPr>
        <w:t xml:space="preserve">Researchers at the CNT are leaders in </w:t>
      </w:r>
      <w:r>
        <w:rPr>
          <w:rFonts w:cs="Times New Roman"/>
          <w:color w:val="000000" w:themeColor="text1"/>
          <w:sz w:val="24"/>
          <w:szCs w:val="24"/>
        </w:rPr>
        <w:t xml:space="preserve">fields of neural engineering, </w:t>
      </w:r>
      <w:r w:rsidRPr="00C7199E">
        <w:rPr>
          <w:rFonts w:cs="Times New Roman"/>
          <w:color w:val="000000" w:themeColor="text1"/>
          <w:sz w:val="24"/>
          <w:szCs w:val="24"/>
        </w:rPr>
        <w:t xml:space="preserve">computational analysis, </w:t>
      </w:r>
      <w:r>
        <w:rPr>
          <w:rFonts w:cs="Times New Roman"/>
          <w:color w:val="000000" w:themeColor="text1"/>
          <w:sz w:val="24"/>
          <w:szCs w:val="24"/>
        </w:rPr>
        <w:t>brain</w:t>
      </w:r>
      <w:r w:rsidRPr="00C7199E">
        <w:rPr>
          <w:rFonts w:cs="Times New Roman"/>
          <w:color w:val="000000" w:themeColor="text1"/>
          <w:sz w:val="24"/>
          <w:szCs w:val="24"/>
        </w:rPr>
        <w:t xml:space="preserve">-computer interfaces, </w:t>
      </w:r>
      <w:r>
        <w:rPr>
          <w:rFonts w:cs="Times New Roman"/>
          <w:color w:val="000000" w:themeColor="text1"/>
          <w:sz w:val="24"/>
          <w:szCs w:val="24"/>
        </w:rPr>
        <w:t xml:space="preserve">implantable technology, </w:t>
      </w:r>
      <w:r w:rsidRPr="00C7199E">
        <w:rPr>
          <w:rFonts w:cs="Times New Roman"/>
          <w:color w:val="000000" w:themeColor="text1"/>
          <w:sz w:val="24"/>
          <w:szCs w:val="24"/>
        </w:rPr>
        <w:t xml:space="preserve">wireless power, and other exciting innovations that have the potential to improve the lives of individuals who have been injured through accidents, stroke, or disease. Experiences engaging with educators and students have led the </w:t>
      </w:r>
      <w:r w:rsidRPr="00C7199E">
        <w:rPr>
          <w:rFonts w:cs="Times New Roman"/>
          <w:i/>
          <w:color w:val="000000" w:themeColor="text1"/>
          <w:sz w:val="24"/>
          <w:szCs w:val="24"/>
        </w:rPr>
        <w:t>NNL</w:t>
      </w:r>
      <w:r w:rsidRPr="00C7199E">
        <w:rPr>
          <w:rFonts w:cs="Times New Roman"/>
          <w:color w:val="000000" w:themeColor="text1"/>
          <w:sz w:val="24"/>
          <w:szCs w:val="24"/>
        </w:rPr>
        <w:t xml:space="preserve"> leadership team to believe that projects, activities, and opportunities that include exposure to these exciting research </w:t>
      </w:r>
      <w:r>
        <w:rPr>
          <w:rFonts w:cs="Times New Roman"/>
          <w:color w:val="000000" w:themeColor="text1"/>
          <w:sz w:val="24"/>
          <w:szCs w:val="24"/>
        </w:rPr>
        <w:t>areas</w:t>
      </w:r>
      <w:r w:rsidRPr="00C7199E">
        <w:rPr>
          <w:rFonts w:cs="Times New Roman"/>
          <w:color w:val="000000" w:themeColor="text1"/>
          <w:sz w:val="24"/>
          <w:szCs w:val="24"/>
        </w:rPr>
        <w:t xml:space="preserve"> are highly motivating for students, including those with disabilities. </w:t>
      </w:r>
    </w:p>
    <w:p w14:paraId="58ADBDD2" w14:textId="77777777" w:rsidR="005B0484" w:rsidRPr="00203266" w:rsidRDefault="005B0484" w:rsidP="005B0484">
      <w:pPr>
        <w:spacing w:line="480" w:lineRule="auto"/>
        <w:jc w:val="center"/>
        <w:rPr>
          <w:b/>
          <w:bCs/>
        </w:rPr>
      </w:pPr>
      <w:r w:rsidRPr="00C7199E">
        <w:rPr>
          <w:b/>
          <w:bCs/>
        </w:rPr>
        <w:t>Methods: Key Interventions for Students</w:t>
      </w:r>
    </w:p>
    <w:p w14:paraId="1C57FE5B" w14:textId="77777777" w:rsidR="005B0484" w:rsidRPr="00C7199E" w:rsidRDefault="005B0484" w:rsidP="005B0484">
      <w:pPr>
        <w:spacing w:line="480" w:lineRule="auto"/>
      </w:pPr>
      <w:r>
        <w:t xml:space="preserve">During the NNL program, </w:t>
      </w:r>
      <w:r w:rsidRPr="00C7199E">
        <w:t xml:space="preserve">student participants engage in a </w:t>
      </w:r>
      <w:r>
        <w:t>multi</w:t>
      </w:r>
      <w:r w:rsidRPr="00C7199E">
        <w:t xml:space="preserve">-day Neuroscience </w:t>
      </w:r>
      <w:r>
        <w:t>S</w:t>
      </w:r>
      <w:r w:rsidRPr="00C7199E">
        <w:t xml:space="preserve">ummer </w:t>
      </w:r>
      <w:r>
        <w:t>S</w:t>
      </w:r>
      <w:r w:rsidRPr="00C7199E">
        <w:t xml:space="preserve">tudy </w:t>
      </w:r>
      <w:r>
        <w:t xml:space="preserve">program. In 2020 and 2021, activities were conducted online due to the COVID-19 pandemic. In 2022 and 2023, activities took place both online and on the UW </w:t>
      </w:r>
      <w:r>
        <w:lastRenderedPageBreak/>
        <w:t>campus. A</w:t>
      </w:r>
      <w:r w:rsidRPr="00C7199E">
        <w:t>ctivities include</w:t>
      </w:r>
      <w:r>
        <w:t>d</w:t>
      </w:r>
      <w:r w:rsidRPr="00C7199E">
        <w:t xml:space="preserve"> hands-on, inquiry-based activities and cooperative learning. Students participate</w:t>
      </w:r>
      <w:r>
        <w:t>d</w:t>
      </w:r>
      <w:r w:rsidRPr="00C7199E">
        <w:t xml:space="preserve"> in neuroscience activities as well as</w:t>
      </w:r>
      <w:r>
        <w:t xml:space="preserve"> </w:t>
      </w:r>
      <w:r w:rsidRPr="00C7199E">
        <w:t>activities designed to practice skill building related to challenges faced by neurodiver</w:t>
      </w:r>
      <w:r>
        <w:t>gent</w:t>
      </w:r>
      <w:r w:rsidRPr="00C7199E">
        <w:t xml:space="preserve"> students. More advanced neurodiver</w:t>
      </w:r>
      <w:r>
        <w:t>gent</w:t>
      </w:r>
      <w:r w:rsidRPr="00C7199E">
        <w:t xml:space="preserve"> college students </w:t>
      </w:r>
      <w:r>
        <w:t>acted as mentors</w:t>
      </w:r>
      <w:r w:rsidRPr="00C7199E">
        <w:t xml:space="preserve">, </w:t>
      </w:r>
      <w:r>
        <w:t xml:space="preserve">providing support and encouragement to younger students </w:t>
      </w:r>
      <w:r w:rsidRPr="00C7199E">
        <w:t xml:space="preserve">as they progress in </w:t>
      </w:r>
      <w:r>
        <w:t xml:space="preserve">academics </w:t>
      </w:r>
      <w:r w:rsidRPr="00C7199E">
        <w:t xml:space="preserve">and toward careers. </w:t>
      </w:r>
    </w:p>
    <w:p w14:paraId="76C5988F" w14:textId="77777777" w:rsidR="005B0484" w:rsidRPr="00C7199E" w:rsidRDefault="005B0484" w:rsidP="005B0484">
      <w:pPr>
        <w:spacing w:line="480" w:lineRule="auto"/>
      </w:pPr>
      <w:r w:rsidRPr="00C7199E">
        <w:t>Throughout the year, neurodiver</w:t>
      </w:r>
      <w:r>
        <w:t>gent</w:t>
      </w:r>
      <w:r w:rsidRPr="00C7199E">
        <w:t xml:space="preserve"> students participate</w:t>
      </w:r>
      <w:r>
        <w:t>d</w:t>
      </w:r>
      <w:r w:rsidRPr="00C7199E">
        <w:t xml:space="preserve"> in </w:t>
      </w:r>
      <w:r>
        <w:t>online and on-campus sessions designed to further promote STEM interest and college readiness</w:t>
      </w:r>
      <w:r w:rsidRPr="00C7199E">
        <w:t xml:space="preserve">. </w:t>
      </w:r>
      <w:r>
        <w:t>S</w:t>
      </w:r>
      <w:r w:rsidRPr="00C7199E">
        <w:t>essions provide</w:t>
      </w:r>
      <w:r>
        <w:t>d</w:t>
      </w:r>
      <w:r w:rsidRPr="00C7199E">
        <w:t xml:space="preserve"> opportunities to practice skills and share strategies for managing challenges. </w:t>
      </w:r>
      <w:r>
        <w:t>They participated in electronic mentoring, where they learned about neuroscience, informal science learning opportunities, college preparation, and related topics.</w:t>
      </w:r>
    </w:p>
    <w:p w14:paraId="1E30AD50" w14:textId="2A6454B9" w:rsidR="005B0484" w:rsidRPr="00C7199E" w:rsidRDefault="005B0484" w:rsidP="003C5CCA">
      <w:pPr>
        <w:spacing w:line="480" w:lineRule="auto"/>
      </w:pPr>
      <w:r w:rsidRPr="00C7199E">
        <w:t xml:space="preserve">All </w:t>
      </w:r>
      <w:r>
        <w:t>students</w:t>
      </w:r>
      <w:r w:rsidRPr="00C7199E">
        <w:t xml:space="preserve"> </w:t>
      </w:r>
      <w:r>
        <w:t>we</w:t>
      </w:r>
      <w:r w:rsidRPr="00C7199E">
        <w:t xml:space="preserve">re offered </w:t>
      </w:r>
      <w:r>
        <w:t>1-to-1</w:t>
      </w:r>
      <w:r w:rsidRPr="00C7199E">
        <w:t xml:space="preserve"> </w:t>
      </w:r>
      <w:r>
        <w:t>mentoring</w:t>
      </w:r>
      <w:r w:rsidRPr="00C7199E">
        <w:t xml:space="preserve"> opportunities designed to help </w:t>
      </w:r>
      <w:r>
        <w:t>them</w:t>
      </w:r>
      <w:r w:rsidRPr="00C7199E">
        <w:t xml:space="preserve"> address challenges related to attention, organization, time management, listening skills, </w:t>
      </w:r>
      <w:r>
        <w:t xml:space="preserve">and </w:t>
      </w:r>
      <w:r w:rsidRPr="00C7199E">
        <w:t>sensory perception</w:t>
      </w:r>
      <w:r>
        <w:t>.</w:t>
      </w:r>
      <w:r w:rsidRPr="00C7199E">
        <w:t xml:space="preserve"> </w:t>
      </w:r>
      <w:r>
        <w:t>Many</w:t>
      </w:r>
      <w:r w:rsidRPr="00C7199E">
        <w:t xml:space="preserve"> sessions include</w:t>
      </w:r>
      <w:r>
        <w:t>d</w:t>
      </w:r>
      <w:r w:rsidRPr="00C7199E">
        <w:t xml:space="preserve"> the involvement of a neurodiver</w:t>
      </w:r>
      <w:r>
        <w:t>gent</w:t>
      </w:r>
      <w:r w:rsidRPr="00C7199E">
        <w:t xml:space="preserve"> peer-mentor.</w:t>
      </w:r>
    </w:p>
    <w:p w14:paraId="4C759766" w14:textId="77777777" w:rsidR="005B0484" w:rsidRPr="00F31178" w:rsidRDefault="005B0484" w:rsidP="005B0484">
      <w:pPr>
        <w:spacing w:line="480" w:lineRule="auto"/>
        <w:jc w:val="center"/>
        <w:rPr>
          <w:b/>
          <w:bCs/>
        </w:rPr>
      </w:pPr>
      <w:r w:rsidRPr="004D476F">
        <w:rPr>
          <w:b/>
          <w:bCs/>
        </w:rPr>
        <w:t>Lessons Learned About Engaging Neurodivergent Students</w:t>
      </w:r>
    </w:p>
    <w:p w14:paraId="63178493" w14:textId="6F32A7D8" w:rsidR="003C5CCA" w:rsidRPr="003C5CCA" w:rsidRDefault="005B0484" w:rsidP="003C5CCA">
      <w:pPr>
        <w:spacing w:line="480" w:lineRule="auto"/>
        <w:rPr>
          <w:rFonts w:eastAsia="Calibri"/>
          <w:i/>
          <w:iCs/>
          <w:kern w:val="2"/>
          <w:lang w:eastAsia="en-US"/>
          <w14:ligatures w14:val="standardContextual"/>
        </w:rPr>
      </w:pPr>
      <w:r>
        <w:t xml:space="preserve">Through conversations with students, observations during </w:t>
      </w:r>
      <w:r w:rsidRPr="00001836">
        <w:rPr>
          <w:i/>
          <w:iCs/>
        </w:rPr>
        <w:t>NNL</w:t>
      </w:r>
      <w:r>
        <w:t xml:space="preserve"> activities, and engagement with other professionals serving neurodivergent students, project staff identified ten promising practices for engaging students [Table 1] which were presented at the 2024 Pacific Rim International Conference on Disability and Diversity. The lessons will be shared in two new publications of the DO-IT Center called </w:t>
      </w:r>
      <w:r w:rsidRPr="00AB0344">
        <w:rPr>
          <w:i/>
          <w:iCs/>
        </w:rPr>
        <w:t xml:space="preserve">Tips for </w:t>
      </w:r>
      <w:r>
        <w:rPr>
          <w:i/>
          <w:iCs/>
        </w:rPr>
        <w:t>E</w:t>
      </w:r>
      <w:r w:rsidRPr="00AB0344">
        <w:rPr>
          <w:i/>
          <w:iCs/>
        </w:rPr>
        <w:t xml:space="preserve">ngaging </w:t>
      </w:r>
      <w:r>
        <w:rPr>
          <w:i/>
          <w:iCs/>
        </w:rPr>
        <w:t>N</w:t>
      </w:r>
      <w:r w:rsidRPr="00AB0344">
        <w:rPr>
          <w:i/>
          <w:iCs/>
        </w:rPr>
        <w:t xml:space="preserve">eurodivergent </w:t>
      </w:r>
      <w:r>
        <w:rPr>
          <w:i/>
          <w:iCs/>
        </w:rPr>
        <w:t>S</w:t>
      </w:r>
      <w:r w:rsidRPr="00AB0344">
        <w:rPr>
          <w:i/>
          <w:iCs/>
        </w:rPr>
        <w:t xml:space="preserve">tudents in K-12 </w:t>
      </w:r>
      <w:r>
        <w:rPr>
          <w:i/>
          <w:iCs/>
        </w:rPr>
        <w:t>C</w:t>
      </w:r>
      <w:r w:rsidRPr="00AB0344">
        <w:rPr>
          <w:i/>
          <w:iCs/>
        </w:rPr>
        <w:t>lassrooms</w:t>
      </w:r>
      <w:r>
        <w:t xml:space="preserve"> and </w:t>
      </w:r>
      <w:r w:rsidRPr="00AB0344">
        <w:rPr>
          <w:i/>
          <w:iCs/>
        </w:rPr>
        <w:t xml:space="preserve">Tips for </w:t>
      </w:r>
      <w:r>
        <w:rPr>
          <w:i/>
          <w:iCs/>
        </w:rPr>
        <w:t>E</w:t>
      </w:r>
      <w:r w:rsidRPr="00AB0344">
        <w:rPr>
          <w:i/>
          <w:iCs/>
        </w:rPr>
        <w:t xml:space="preserve">ngaging </w:t>
      </w:r>
      <w:r>
        <w:rPr>
          <w:i/>
          <w:iCs/>
        </w:rPr>
        <w:t>N</w:t>
      </w:r>
      <w:r w:rsidRPr="00AB0344">
        <w:rPr>
          <w:i/>
          <w:iCs/>
        </w:rPr>
        <w:t xml:space="preserve">eurodivergent </w:t>
      </w:r>
      <w:r>
        <w:rPr>
          <w:i/>
          <w:iCs/>
        </w:rPr>
        <w:t>S</w:t>
      </w:r>
      <w:r w:rsidRPr="00AB0344">
        <w:rPr>
          <w:i/>
          <w:iCs/>
        </w:rPr>
        <w:t xml:space="preserve">tudents on </w:t>
      </w:r>
      <w:r>
        <w:rPr>
          <w:i/>
          <w:iCs/>
        </w:rPr>
        <w:t>P</w:t>
      </w:r>
      <w:r w:rsidRPr="00AB0344">
        <w:rPr>
          <w:i/>
          <w:iCs/>
        </w:rPr>
        <w:t xml:space="preserve">ostsecondary </w:t>
      </w:r>
      <w:r>
        <w:rPr>
          <w:i/>
          <w:iCs/>
        </w:rPr>
        <w:t>C</w:t>
      </w:r>
      <w:r w:rsidRPr="00AB0344">
        <w:rPr>
          <w:i/>
          <w:iCs/>
        </w:rPr>
        <w:t>ampuses</w:t>
      </w:r>
      <w:r>
        <w:t xml:space="preserve"> (in press-a, -b) The practices fall broadly within three categories: preparing students, student engagement, and flexibility. </w:t>
      </w:r>
      <w:r>
        <w:br/>
      </w:r>
      <w:r w:rsidR="003C5CCA">
        <w:rPr>
          <w:i/>
          <w:iCs/>
        </w:rPr>
        <w:lastRenderedPageBreak/>
        <w:br/>
      </w:r>
      <w:r w:rsidR="003C5CCA" w:rsidRPr="003C5CCA">
        <w:rPr>
          <w:rFonts w:eastAsia="Calibri"/>
          <w:b/>
          <w:bCs/>
          <w:kern w:val="2"/>
          <w:lang w:eastAsia="en-US"/>
          <w14:ligatures w14:val="standardContextual"/>
        </w:rPr>
        <w:t>Table 1</w:t>
      </w:r>
      <w:r w:rsidR="003C5CCA" w:rsidRPr="003C5CCA">
        <w:rPr>
          <w:rFonts w:eastAsia="Calibri"/>
          <w:kern w:val="2"/>
          <w:lang w:eastAsia="en-US"/>
          <w14:ligatures w14:val="standardContextual"/>
        </w:rPr>
        <w:t xml:space="preserve"> </w:t>
      </w:r>
      <w:r w:rsidR="003C5CCA" w:rsidRPr="003C5CCA">
        <w:rPr>
          <w:rFonts w:eastAsia="Calibri"/>
          <w:kern w:val="2"/>
          <w:lang w:eastAsia="en-US"/>
          <w14:ligatures w14:val="standardContextual"/>
        </w:rPr>
        <w:br/>
      </w:r>
      <w:r w:rsidR="003C5CCA" w:rsidRPr="003C5CCA">
        <w:rPr>
          <w:rFonts w:eastAsia="Calibri"/>
          <w:i/>
          <w:iCs/>
          <w:kern w:val="2"/>
          <w:lang w:eastAsia="en-US"/>
          <w14:ligatures w14:val="standardContextual"/>
        </w:rPr>
        <w:t>Lessons Learned about Engaging Neurodivergent Students</w:t>
      </w:r>
    </w:p>
    <w:tbl>
      <w:tblPr>
        <w:tblW w:w="8995" w:type="dxa"/>
        <w:tblBorders>
          <w:top w:val="single" w:sz="8" w:space="0" w:color="D0CECE"/>
          <w:left w:val="single" w:sz="8" w:space="0" w:color="D0CECE"/>
          <w:bottom w:val="single" w:sz="8" w:space="0" w:color="D0CECE"/>
          <w:right w:val="single" w:sz="8" w:space="0" w:color="D0CECE"/>
          <w:insideH w:val="single" w:sz="8" w:space="0" w:color="D0CECE"/>
          <w:insideV w:val="single" w:sz="8" w:space="0" w:color="D0CECE"/>
        </w:tblBorders>
        <w:tblLook w:val="04A0" w:firstRow="1" w:lastRow="0" w:firstColumn="1" w:lastColumn="0" w:noHBand="0" w:noVBand="1"/>
      </w:tblPr>
      <w:tblGrid>
        <w:gridCol w:w="520"/>
        <w:gridCol w:w="5415"/>
        <w:gridCol w:w="3060"/>
      </w:tblGrid>
      <w:tr w:rsidR="003C5CCA" w:rsidRPr="003C5CCA" w14:paraId="25C06EF9" w14:textId="77777777" w:rsidTr="003C5CCA">
        <w:trPr>
          <w:trHeight w:val="320"/>
        </w:trPr>
        <w:tc>
          <w:tcPr>
            <w:tcW w:w="520" w:type="dxa"/>
            <w:shd w:val="clear" w:color="auto" w:fill="auto"/>
            <w:noWrap/>
            <w:vAlign w:val="bottom"/>
            <w:hideMark/>
          </w:tcPr>
          <w:p w14:paraId="1845E474" w14:textId="77777777" w:rsidR="003C5CCA" w:rsidRPr="003C5CCA" w:rsidRDefault="003C5CCA" w:rsidP="003C5CCA">
            <w:pPr>
              <w:widowControl/>
              <w:spacing w:after="0" w:line="480" w:lineRule="auto"/>
              <w:ind w:firstLine="0"/>
              <w:jc w:val="center"/>
              <w:rPr>
                <w:rFonts w:ascii="Calibri" w:hAnsi="Calibri" w:cs="Calibri"/>
                <w:color w:val="000000"/>
                <w:lang w:eastAsia="en-US"/>
              </w:rPr>
            </w:pPr>
          </w:p>
        </w:tc>
        <w:tc>
          <w:tcPr>
            <w:tcW w:w="5415" w:type="dxa"/>
            <w:shd w:val="clear" w:color="auto" w:fill="auto"/>
            <w:noWrap/>
            <w:vAlign w:val="bottom"/>
            <w:hideMark/>
          </w:tcPr>
          <w:p w14:paraId="4C5A02F1" w14:textId="77777777" w:rsidR="003C5CCA" w:rsidRPr="003C5CCA" w:rsidRDefault="003C5CCA" w:rsidP="003C5CCA">
            <w:pPr>
              <w:widowControl/>
              <w:spacing w:after="0" w:line="480" w:lineRule="auto"/>
              <w:ind w:firstLine="0"/>
              <w:rPr>
                <w:rFonts w:ascii="Calibri" w:hAnsi="Calibri" w:cs="Calibri"/>
                <w:b/>
                <w:bCs/>
                <w:color w:val="000000"/>
                <w:lang w:eastAsia="en-US"/>
              </w:rPr>
            </w:pPr>
            <w:r w:rsidRPr="003C5CCA">
              <w:rPr>
                <w:rFonts w:ascii="Calibri" w:hAnsi="Calibri" w:cs="Calibri"/>
                <w:b/>
                <w:bCs/>
                <w:color w:val="000000"/>
                <w:lang w:eastAsia="en-US"/>
              </w:rPr>
              <w:t>Lesson Learned</w:t>
            </w:r>
          </w:p>
        </w:tc>
        <w:tc>
          <w:tcPr>
            <w:tcW w:w="3060" w:type="dxa"/>
            <w:shd w:val="clear" w:color="auto" w:fill="auto"/>
            <w:noWrap/>
            <w:vAlign w:val="bottom"/>
            <w:hideMark/>
          </w:tcPr>
          <w:p w14:paraId="342FB85C" w14:textId="77777777" w:rsidR="003C5CCA" w:rsidRPr="003C5CCA" w:rsidRDefault="003C5CCA" w:rsidP="003C5CCA">
            <w:pPr>
              <w:widowControl/>
              <w:spacing w:after="0" w:line="480" w:lineRule="auto"/>
              <w:ind w:firstLine="0"/>
              <w:rPr>
                <w:rFonts w:ascii="Calibri" w:hAnsi="Calibri" w:cs="Calibri"/>
                <w:b/>
                <w:bCs/>
                <w:color w:val="000000"/>
                <w:lang w:eastAsia="en-US"/>
              </w:rPr>
            </w:pPr>
            <w:r w:rsidRPr="003C5CCA">
              <w:rPr>
                <w:rFonts w:ascii="Calibri" w:hAnsi="Calibri" w:cs="Calibri"/>
                <w:b/>
                <w:bCs/>
                <w:color w:val="000000"/>
                <w:lang w:eastAsia="en-US"/>
              </w:rPr>
              <w:t>Category</w:t>
            </w:r>
          </w:p>
        </w:tc>
      </w:tr>
      <w:tr w:rsidR="003C5CCA" w:rsidRPr="003C5CCA" w14:paraId="76E6ECE1" w14:textId="77777777" w:rsidTr="003C5CCA">
        <w:trPr>
          <w:trHeight w:val="320"/>
        </w:trPr>
        <w:tc>
          <w:tcPr>
            <w:tcW w:w="520" w:type="dxa"/>
            <w:shd w:val="clear" w:color="auto" w:fill="auto"/>
            <w:noWrap/>
            <w:vAlign w:val="bottom"/>
          </w:tcPr>
          <w:p w14:paraId="626E2038" w14:textId="77777777" w:rsidR="003C5CCA" w:rsidRPr="003C5CCA" w:rsidRDefault="003C5CCA" w:rsidP="003C5CCA">
            <w:pPr>
              <w:widowControl/>
              <w:spacing w:after="0" w:line="480" w:lineRule="auto"/>
              <w:ind w:firstLine="0"/>
              <w:jc w:val="center"/>
              <w:rPr>
                <w:rFonts w:ascii="Calibri" w:hAnsi="Calibri" w:cs="Calibri"/>
                <w:color w:val="000000"/>
                <w:lang w:eastAsia="en-US"/>
              </w:rPr>
            </w:pPr>
            <w:r w:rsidRPr="003C5CCA">
              <w:rPr>
                <w:rFonts w:ascii="Calibri" w:hAnsi="Calibri" w:cs="Calibri"/>
                <w:color w:val="000000"/>
                <w:lang w:eastAsia="en-US"/>
              </w:rPr>
              <w:t>1</w:t>
            </w:r>
          </w:p>
        </w:tc>
        <w:tc>
          <w:tcPr>
            <w:tcW w:w="5415" w:type="dxa"/>
            <w:shd w:val="clear" w:color="auto" w:fill="auto"/>
            <w:noWrap/>
            <w:vAlign w:val="bottom"/>
          </w:tcPr>
          <w:p w14:paraId="35D6F569"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Share “what we’re doing and why it’s important”</w:t>
            </w:r>
          </w:p>
        </w:tc>
        <w:tc>
          <w:tcPr>
            <w:tcW w:w="3060" w:type="dxa"/>
            <w:shd w:val="clear" w:color="auto" w:fill="auto"/>
            <w:noWrap/>
            <w:vAlign w:val="bottom"/>
          </w:tcPr>
          <w:p w14:paraId="12919AA8"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Student Engagement</w:t>
            </w:r>
          </w:p>
        </w:tc>
      </w:tr>
      <w:tr w:rsidR="003C5CCA" w:rsidRPr="003C5CCA" w14:paraId="6FE09AB7" w14:textId="77777777" w:rsidTr="003C5CCA">
        <w:trPr>
          <w:trHeight w:val="320"/>
        </w:trPr>
        <w:tc>
          <w:tcPr>
            <w:tcW w:w="520" w:type="dxa"/>
            <w:shd w:val="clear" w:color="auto" w:fill="auto"/>
            <w:noWrap/>
            <w:vAlign w:val="bottom"/>
            <w:hideMark/>
          </w:tcPr>
          <w:p w14:paraId="141A6961" w14:textId="77777777" w:rsidR="003C5CCA" w:rsidRPr="003C5CCA" w:rsidRDefault="003C5CCA" w:rsidP="003C5CCA">
            <w:pPr>
              <w:widowControl/>
              <w:spacing w:after="0" w:line="480" w:lineRule="auto"/>
              <w:ind w:firstLine="0"/>
              <w:jc w:val="center"/>
              <w:rPr>
                <w:rFonts w:ascii="Calibri" w:hAnsi="Calibri" w:cs="Calibri"/>
                <w:color w:val="000000"/>
                <w:lang w:eastAsia="en-US"/>
              </w:rPr>
            </w:pPr>
            <w:r w:rsidRPr="003C5CCA">
              <w:rPr>
                <w:rFonts w:ascii="Calibri" w:hAnsi="Calibri" w:cs="Calibri"/>
                <w:color w:val="000000"/>
                <w:lang w:eastAsia="en-US"/>
              </w:rPr>
              <w:t>2</w:t>
            </w:r>
          </w:p>
        </w:tc>
        <w:tc>
          <w:tcPr>
            <w:tcW w:w="5415" w:type="dxa"/>
            <w:shd w:val="clear" w:color="auto" w:fill="auto"/>
            <w:noWrap/>
            <w:vAlign w:val="bottom"/>
            <w:hideMark/>
          </w:tcPr>
          <w:p w14:paraId="54496875"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Find ways to incorporate humor</w:t>
            </w:r>
          </w:p>
        </w:tc>
        <w:tc>
          <w:tcPr>
            <w:tcW w:w="3060" w:type="dxa"/>
            <w:shd w:val="clear" w:color="auto" w:fill="auto"/>
            <w:noWrap/>
            <w:vAlign w:val="bottom"/>
            <w:hideMark/>
          </w:tcPr>
          <w:p w14:paraId="1F392F84"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Student Engagement</w:t>
            </w:r>
          </w:p>
        </w:tc>
      </w:tr>
      <w:tr w:rsidR="003C5CCA" w:rsidRPr="003C5CCA" w14:paraId="63C0D104" w14:textId="77777777" w:rsidTr="003C5CCA">
        <w:trPr>
          <w:trHeight w:val="320"/>
        </w:trPr>
        <w:tc>
          <w:tcPr>
            <w:tcW w:w="520" w:type="dxa"/>
            <w:shd w:val="clear" w:color="auto" w:fill="auto"/>
            <w:noWrap/>
            <w:vAlign w:val="bottom"/>
            <w:hideMark/>
          </w:tcPr>
          <w:p w14:paraId="169C4E6D" w14:textId="77777777" w:rsidR="003C5CCA" w:rsidRPr="003C5CCA" w:rsidRDefault="003C5CCA" w:rsidP="003C5CCA">
            <w:pPr>
              <w:widowControl/>
              <w:spacing w:after="0" w:line="480" w:lineRule="auto"/>
              <w:ind w:firstLine="0"/>
              <w:jc w:val="center"/>
              <w:rPr>
                <w:rFonts w:ascii="Calibri" w:hAnsi="Calibri" w:cs="Calibri"/>
                <w:color w:val="000000"/>
                <w:lang w:eastAsia="en-US"/>
              </w:rPr>
            </w:pPr>
            <w:r w:rsidRPr="003C5CCA">
              <w:rPr>
                <w:rFonts w:ascii="Calibri" w:hAnsi="Calibri" w:cs="Calibri"/>
                <w:color w:val="000000"/>
                <w:lang w:eastAsia="en-US"/>
              </w:rPr>
              <w:t>3</w:t>
            </w:r>
          </w:p>
        </w:tc>
        <w:tc>
          <w:tcPr>
            <w:tcW w:w="5415" w:type="dxa"/>
            <w:shd w:val="clear" w:color="auto" w:fill="auto"/>
            <w:noWrap/>
            <w:vAlign w:val="bottom"/>
            <w:hideMark/>
          </w:tcPr>
          <w:p w14:paraId="05796D50"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Be genuine and be vulnerable at times</w:t>
            </w:r>
          </w:p>
        </w:tc>
        <w:tc>
          <w:tcPr>
            <w:tcW w:w="3060" w:type="dxa"/>
            <w:shd w:val="clear" w:color="auto" w:fill="auto"/>
            <w:noWrap/>
            <w:vAlign w:val="bottom"/>
            <w:hideMark/>
          </w:tcPr>
          <w:p w14:paraId="1E635501"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Student Engagement</w:t>
            </w:r>
          </w:p>
        </w:tc>
      </w:tr>
      <w:tr w:rsidR="003C5CCA" w:rsidRPr="003C5CCA" w14:paraId="34353E52" w14:textId="77777777" w:rsidTr="003C5CCA">
        <w:trPr>
          <w:trHeight w:val="320"/>
        </w:trPr>
        <w:tc>
          <w:tcPr>
            <w:tcW w:w="520" w:type="dxa"/>
            <w:shd w:val="clear" w:color="auto" w:fill="auto"/>
            <w:noWrap/>
            <w:vAlign w:val="bottom"/>
            <w:hideMark/>
          </w:tcPr>
          <w:p w14:paraId="771F757E" w14:textId="77777777" w:rsidR="003C5CCA" w:rsidRPr="003C5CCA" w:rsidRDefault="003C5CCA" w:rsidP="003C5CCA">
            <w:pPr>
              <w:widowControl/>
              <w:spacing w:after="0" w:line="480" w:lineRule="auto"/>
              <w:ind w:firstLine="0"/>
              <w:jc w:val="center"/>
              <w:rPr>
                <w:rFonts w:ascii="Calibri" w:hAnsi="Calibri" w:cs="Calibri"/>
                <w:color w:val="000000"/>
                <w:lang w:eastAsia="en-US"/>
              </w:rPr>
            </w:pPr>
            <w:r w:rsidRPr="003C5CCA">
              <w:rPr>
                <w:rFonts w:ascii="Calibri" w:hAnsi="Calibri" w:cs="Calibri"/>
                <w:color w:val="000000"/>
                <w:lang w:eastAsia="en-US"/>
              </w:rPr>
              <w:t>4</w:t>
            </w:r>
          </w:p>
        </w:tc>
        <w:tc>
          <w:tcPr>
            <w:tcW w:w="5415" w:type="dxa"/>
            <w:shd w:val="clear" w:color="auto" w:fill="auto"/>
            <w:noWrap/>
            <w:vAlign w:val="bottom"/>
            <w:hideMark/>
          </w:tcPr>
          <w:p w14:paraId="0CEB6A52"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Build and share social narratives</w:t>
            </w:r>
          </w:p>
        </w:tc>
        <w:tc>
          <w:tcPr>
            <w:tcW w:w="3060" w:type="dxa"/>
            <w:shd w:val="clear" w:color="auto" w:fill="auto"/>
            <w:noWrap/>
            <w:vAlign w:val="bottom"/>
            <w:hideMark/>
          </w:tcPr>
          <w:p w14:paraId="3E5A95E5"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Preparing Students</w:t>
            </w:r>
          </w:p>
        </w:tc>
      </w:tr>
      <w:tr w:rsidR="003C5CCA" w:rsidRPr="003C5CCA" w14:paraId="3974A4B4" w14:textId="77777777" w:rsidTr="003C5CCA">
        <w:trPr>
          <w:trHeight w:val="320"/>
        </w:trPr>
        <w:tc>
          <w:tcPr>
            <w:tcW w:w="520" w:type="dxa"/>
            <w:shd w:val="clear" w:color="auto" w:fill="auto"/>
            <w:noWrap/>
            <w:vAlign w:val="bottom"/>
            <w:hideMark/>
          </w:tcPr>
          <w:p w14:paraId="79A4983E" w14:textId="77777777" w:rsidR="003C5CCA" w:rsidRPr="003C5CCA" w:rsidRDefault="003C5CCA" w:rsidP="003C5CCA">
            <w:pPr>
              <w:widowControl/>
              <w:spacing w:after="0" w:line="480" w:lineRule="auto"/>
              <w:ind w:firstLine="0"/>
              <w:jc w:val="center"/>
              <w:rPr>
                <w:rFonts w:ascii="Calibri" w:hAnsi="Calibri" w:cs="Calibri"/>
                <w:color w:val="000000"/>
                <w:lang w:eastAsia="en-US"/>
              </w:rPr>
            </w:pPr>
            <w:r w:rsidRPr="003C5CCA">
              <w:rPr>
                <w:rFonts w:ascii="Calibri" w:hAnsi="Calibri" w:cs="Calibri"/>
                <w:color w:val="000000"/>
                <w:lang w:eastAsia="en-US"/>
              </w:rPr>
              <w:t>5</w:t>
            </w:r>
          </w:p>
        </w:tc>
        <w:tc>
          <w:tcPr>
            <w:tcW w:w="5415" w:type="dxa"/>
            <w:shd w:val="clear" w:color="auto" w:fill="auto"/>
            <w:noWrap/>
            <w:vAlign w:val="bottom"/>
            <w:hideMark/>
          </w:tcPr>
          <w:p w14:paraId="3A71752A"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Allow for hands-on learning</w:t>
            </w:r>
          </w:p>
        </w:tc>
        <w:tc>
          <w:tcPr>
            <w:tcW w:w="3060" w:type="dxa"/>
            <w:shd w:val="clear" w:color="auto" w:fill="auto"/>
            <w:noWrap/>
            <w:vAlign w:val="bottom"/>
            <w:hideMark/>
          </w:tcPr>
          <w:p w14:paraId="2DA8A2A7"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Student Engagement</w:t>
            </w:r>
          </w:p>
        </w:tc>
      </w:tr>
      <w:tr w:rsidR="003C5CCA" w:rsidRPr="003C5CCA" w14:paraId="38161087" w14:textId="77777777" w:rsidTr="003C5CCA">
        <w:trPr>
          <w:trHeight w:val="320"/>
        </w:trPr>
        <w:tc>
          <w:tcPr>
            <w:tcW w:w="520" w:type="dxa"/>
            <w:shd w:val="clear" w:color="auto" w:fill="auto"/>
            <w:noWrap/>
            <w:vAlign w:val="bottom"/>
            <w:hideMark/>
          </w:tcPr>
          <w:p w14:paraId="4ADF6488" w14:textId="77777777" w:rsidR="003C5CCA" w:rsidRPr="003C5CCA" w:rsidRDefault="003C5CCA" w:rsidP="003C5CCA">
            <w:pPr>
              <w:widowControl/>
              <w:spacing w:after="0" w:line="480" w:lineRule="auto"/>
              <w:ind w:firstLine="0"/>
              <w:jc w:val="center"/>
              <w:rPr>
                <w:rFonts w:ascii="Calibri" w:hAnsi="Calibri" w:cs="Calibri"/>
                <w:color w:val="000000"/>
                <w:lang w:eastAsia="en-US"/>
              </w:rPr>
            </w:pPr>
            <w:r w:rsidRPr="003C5CCA">
              <w:rPr>
                <w:rFonts w:ascii="Calibri" w:hAnsi="Calibri" w:cs="Calibri"/>
                <w:color w:val="000000"/>
                <w:lang w:eastAsia="en-US"/>
              </w:rPr>
              <w:t>6</w:t>
            </w:r>
          </w:p>
        </w:tc>
        <w:tc>
          <w:tcPr>
            <w:tcW w:w="5415" w:type="dxa"/>
            <w:shd w:val="clear" w:color="auto" w:fill="auto"/>
            <w:noWrap/>
            <w:vAlign w:val="bottom"/>
            <w:hideMark/>
          </w:tcPr>
          <w:p w14:paraId="772098C2"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Encourage student teaching of others</w:t>
            </w:r>
          </w:p>
        </w:tc>
        <w:tc>
          <w:tcPr>
            <w:tcW w:w="3060" w:type="dxa"/>
            <w:shd w:val="clear" w:color="auto" w:fill="auto"/>
            <w:noWrap/>
            <w:vAlign w:val="bottom"/>
            <w:hideMark/>
          </w:tcPr>
          <w:p w14:paraId="38914523"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Student Engagement</w:t>
            </w:r>
          </w:p>
        </w:tc>
      </w:tr>
      <w:tr w:rsidR="003C5CCA" w:rsidRPr="003C5CCA" w14:paraId="780B6061" w14:textId="77777777" w:rsidTr="003C5CCA">
        <w:trPr>
          <w:trHeight w:val="320"/>
        </w:trPr>
        <w:tc>
          <w:tcPr>
            <w:tcW w:w="520" w:type="dxa"/>
            <w:shd w:val="clear" w:color="auto" w:fill="auto"/>
            <w:noWrap/>
            <w:vAlign w:val="bottom"/>
            <w:hideMark/>
          </w:tcPr>
          <w:p w14:paraId="4184E974" w14:textId="77777777" w:rsidR="003C5CCA" w:rsidRPr="003C5CCA" w:rsidRDefault="003C5CCA" w:rsidP="003C5CCA">
            <w:pPr>
              <w:widowControl/>
              <w:spacing w:after="0" w:line="480" w:lineRule="auto"/>
              <w:ind w:firstLine="0"/>
              <w:jc w:val="center"/>
              <w:rPr>
                <w:rFonts w:ascii="Calibri" w:hAnsi="Calibri" w:cs="Calibri"/>
                <w:color w:val="000000"/>
                <w:lang w:eastAsia="en-US"/>
              </w:rPr>
            </w:pPr>
            <w:r w:rsidRPr="003C5CCA">
              <w:rPr>
                <w:rFonts w:ascii="Calibri" w:hAnsi="Calibri" w:cs="Calibri"/>
                <w:color w:val="000000"/>
                <w:lang w:eastAsia="en-US"/>
              </w:rPr>
              <w:t>7</w:t>
            </w:r>
          </w:p>
        </w:tc>
        <w:tc>
          <w:tcPr>
            <w:tcW w:w="5415" w:type="dxa"/>
            <w:shd w:val="clear" w:color="auto" w:fill="auto"/>
            <w:noWrap/>
            <w:vAlign w:val="bottom"/>
            <w:hideMark/>
          </w:tcPr>
          <w:p w14:paraId="22FCDBE3"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Offer options to students</w:t>
            </w:r>
          </w:p>
        </w:tc>
        <w:tc>
          <w:tcPr>
            <w:tcW w:w="3060" w:type="dxa"/>
            <w:shd w:val="clear" w:color="auto" w:fill="auto"/>
            <w:noWrap/>
            <w:vAlign w:val="bottom"/>
            <w:hideMark/>
          </w:tcPr>
          <w:p w14:paraId="598C57A6"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Flexibility</w:t>
            </w:r>
          </w:p>
        </w:tc>
      </w:tr>
      <w:tr w:rsidR="003C5CCA" w:rsidRPr="003C5CCA" w14:paraId="4234E641" w14:textId="77777777" w:rsidTr="003C5CCA">
        <w:trPr>
          <w:trHeight w:val="320"/>
        </w:trPr>
        <w:tc>
          <w:tcPr>
            <w:tcW w:w="520" w:type="dxa"/>
            <w:shd w:val="clear" w:color="auto" w:fill="auto"/>
            <w:noWrap/>
            <w:vAlign w:val="bottom"/>
            <w:hideMark/>
          </w:tcPr>
          <w:p w14:paraId="677D6AB6" w14:textId="77777777" w:rsidR="003C5CCA" w:rsidRPr="003C5CCA" w:rsidRDefault="003C5CCA" w:rsidP="003C5CCA">
            <w:pPr>
              <w:widowControl/>
              <w:spacing w:after="0" w:line="480" w:lineRule="auto"/>
              <w:ind w:firstLine="0"/>
              <w:jc w:val="center"/>
              <w:rPr>
                <w:rFonts w:ascii="Calibri" w:hAnsi="Calibri" w:cs="Calibri"/>
                <w:color w:val="000000"/>
                <w:lang w:eastAsia="en-US"/>
              </w:rPr>
            </w:pPr>
            <w:r w:rsidRPr="003C5CCA">
              <w:rPr>
                <w:rFonts w:ascii="Calibri" w:hAnsi="Calibri" w:cs="Calibri"/>
                <w:color w:val="000000"/>
                <w:lang w:eastAsia="en-US"/>
              </w:rPr>
              <w:t>8</w:t>
            </w:r>
          </w:p>
        </w:tc>
        <w:tc>
          <w:tcPr>
            <w:tcW w:w="5415" w:type="dxa"/>
            <w:shd w:val="clear" w:color="auto" w:fill="auto"/>
            <w:noWrap/>
            <w:vAlign w:val="bottom"/>
            <w:hideMark/>
          </w:tcPr>
          <w:p w14:paraId="5173C386"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Allow for student-driven content</w:t>
            </w:r>
          </w:p>
        </w:tc>
        <w:tc>
          <w:tcPr>
            <w:tcW w:w="3060" w:type="dxa"/>
            <w:shd w:val="clear" w:color="auto" w:fill="auto"/>
            <w:noWrap/>
            <w:vAlign w:val="bottom"/>
            <w:hideMark/>
          </w:tcPr>
          <w:p w14:paraId="6120CBBC"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Flexibility</w:t>
            </w:r>
          </w:p>
        </w:tc>
      </w:tr>
      <w:tr w:rsidR="003C5CCA" w:rsidRPr="003C5CCA" w14:paraId="584E454C" w14:textId="77777777" w:rsidTr="003C5CCA">
        <w:trPr>
          <w:trHeight w:val="320"/>
        </w:trPr>
        <w:tc>
          <w:tcPr>
            <w:tcW w:w="520" w:type="dxa"/>
            <w:shd w:val="clear" w:color="auto" w:fill="auto"/>
            <w:noWrap/>
            <w:vAlign w:val="bottom"/>
            <w:hideMark/>
          </w:tcPr>
          <w:p w14:paraId="0272283B" w14:textId="77777777" w:rsidR="003C5CCA" w:rsidRPr="003C5CCA" w:rsidRDefault="003C5CCA" w:rsidP="003C5CCA">
            <w:pPr>
              <w:widowControl/>
              <w:spacing w:after="0" w:line="480" w:lineRule="auto"/>
              <w:ind w:firstLine="0"/>
              <w:jc w:val="center"/>
              <w:rPr>
                <w:rFonts w:ascii="Calibri" w:hAnsi="Calibri" w:cs="Calibri"/>
                <w:color w:val="000000"/>
                <w:lang w:eastAsia="en-US"/>
              </w:rPr>
            </w:pPr>
            <w:r w:rsidRPr="003C5CCA">
              <w:rPr>
                <w:rFonts w:ascii="Calibri" w:hAnsi="Calibri" w:cs="Calibri"/>
                <w:color w:val="000000"/>
                <w:lang w:eastAsia="en-US"/>
              </w:rPr>
              <w:t>9</w:t>
            </w:r>
          </w:p>
        </w:tc>
        <w:tc>
          <w:tcPr>
            <w:tcW w:w="5415" w:type="dxa"/>
            <w:shd w:val="clear" w:color="auto" w:fill="auto"/>
            <w:noWrap/>
            <w:vAlign w:val="bottom"/>
            <w:hideMark/>
          </w:tcPr>
          <w:p w14:paraId="707E0006"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Utilize near-peer leaders</w:t>
            </w:r>
          </w:p>
        </w:tc>
        <w:tc>
          <w:tcPr>
            <w:tcW w:w="3060" w:type="dxa"/>
            <w:shd w:val="clear" w:color="auto" w:fill="auto"/>
            <w:noWrap/>
            <w:vAlign w:val="bottom"/>
            <w:hideMark/>
          </w:tcPr>
          <w:p w14:paraId="2CD3E6E9"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Student Engagement</w:t>
            </w:r>
          </w:p>
        </w:tc>
      </w:tr>
      <w:tr w:rsidR="003C5CCA" w:rsidRPr="003C5CCA" w14:paraId="5A6178FD" w14:textId="77777777" w:rsidTr="003C5CCA">
        <w:trPr>
          <w:trHeight w:val="320"/>
        </w:trPr>
        <w:tc>
          <w:tcPr>
            <w:tcW w:w="520" w:type="dxa"/>
            <w:shd w:val="clear" w:color="auto" w:fill="auto"/>
            <w:noWrap/>
            <w:vAlign w:val="bottom"/>
            <w:hideMark/>
          </w:tcPr>
          <w:p w14:paraId="4DC5477B" w14:textId="77777777" w:rsidR="003C5CCA" w:rsidRPr="003C5CCA" w:rsidRDefault="003C5CCA" w:rsidP="003C5CCA">
            <w:pPr>
              <w:widowControl/>
              <w:spacing w:after="0" w:line="480" w:lineRule="auto"/>
              <w:ind w:firstLine="0"/>
              <w:jc w:val="center"/>
              <w:rPr>
                <w:rFonts w:ascii="Calibri" w:hAnsi="Calibri" w:cs="Calibri"/>
                <w:color w:val="000000"/>
                <w:lang w:eastAsia="en-US"/>
              </w:rPr>
            </w:pPr>
            <w:r w:rsidRPr="003C5CCA">
              <w:rPr>
                <w:rFonts w:ascii="Calibri" w:hAnsi="Calibri" w:cs="Calibri"/>
                <w:color w:val="000000"/>
                <w:lang w:eastAsia="en-US"/>
              </w:rPr>
              <w:t>10</w:t>
            </w:r>
          </w:p>
        </w:tc>
        <w:tc>
          <w:tcPr>
            <w:tcW w:w="5415" w:type="dxa"/>
            <w:shd w:val="clear" w:color="auto" w:fill="auto"/>
            <w:noWrap/>
            <w:vAlign w:val="bottom"/>
            <w:hideMark/>
          </w:tcPr>
          <w:p w14:paraId="24540F7A"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Be aware of assistive technology</w:t>
            </w:r>
          </w:p>
        </w:tc>
        <w:tc>
          <w:tcPr>
            <w:tcW w:w="3060" w:type="dxa"/>
            <w:shd w:val="clear" w:color="auto" w:fill="auto"/>
            <w:noWrap/>
            <w:vAlign w:val="bottom"/>
            <w:hideMark/>
          </w:tcPr>
          <w:p w14:paraId="47E29456"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Preparing Students</w:t>
            </w:r>
          </w:p>
        </w:tc>
      </w:tr>
      <w:tr w:rsidR="003C5CCA" w:rsidRPr="003C5CCA" w14:paraId="7E2347FD" w14:textId="77777777" w:rsidTr="003C5CCA">
        <w:trPr>
          <w:trHeight w:val="320"/>
        </w:trPr>
        <w:tc>
          <w:tcPr>
            <w:tcW w:w="520" w:type="dxa"/>
            <w:shd w:val="clear" w:color="auto" w:fill="auto"/>
            <w:noWrap/>
            <w:vAlign w:val="bottom"/>
            <w:hideMark/>
          </w:tcPr>
          <w:p w14:paraId="686B6244" w14:textId="77777777" w:rsidR="003C5CCA" w:rsidRPr="003C5CCA" w:rsidRDefault="003C5CCA" w:rsidP="003C5CCA">
            <w:pPr>
              <w:widowControl/>
              <w:spacing w:after="0" w:line="480" w:lineRule="auto"/>
              <w:ind w:firstLine="0"/>
              <w:jc w:val="center"/>
              <w:rPr>
                <w:rFonts w:ascii="Calibri" w:hAnsi="Calibri" w:cs="Calibri"/>
                <w:color w:val="000000"/>
                <w:lang w:eastAsia="en-US"/>
              </w:rPr>
            </w:pPr>
            <w:r w:rsidRPr="003C5CCA">
              <w:rPr>
                <w:rFonts w:ascii="Calibri" w:hAnsi="Calibri" w:cs="Calibri"/>
                <w:color w:val="000000"/>
                <w:lang w:eastAsia="en-US"/>
              </w:rPr>
              <w:t>11</w:t>
            </w:r>
          </w:p>
        </w:tc>
        <w:tc>
          <w:tcPr>
            <w:tcW w:w="5415" w:type="dxa"/>
            <w:shd w:val="clear" w:color="auto" w:fill="auto"/>
            <w:noWrap/>
            <w:vAlign w:val="bottom"/>
            <w:hideMark/>
          </w:tcPr>
          <w:p w14:paraId="7AA5BB2B"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Focus on student strengths</w:t>
            </w:r>
          </w:p>
        </w:tc>
        <w:tc>
          <w:tcPr>
            <w:tcW w:w="3060" w:type="dxa"/>
            <w:shd w:val="clear" w:color="auto" w:fill="auto"/>
            <w:noWrap/>
            <w:vAlign w:val="bottom"/>
            <w:hideMark/>
          </w:tcPr>
          <w:p w14:paraId="430A531D"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Preparing Students</w:t>
            </w:r>
          </w:p>
        </w:tc>
      </w:tr>
      <w:tr w:rsidR="003C5CCA" w:rsidRPr="003C5CCA" w14:paraId="2E62B878" w14:textId="77777777" w:rsidTr="003C5CCA">
        <w:trPr>
          <w:trHeight w:val="320"/>
        </w:trPr>
        <w:tc>
          <w:tcPr>
            <w:tcW w:w="520" w:type="dxa"/>
            <w:shd w:val="clear" w:color="auto" w:fill="auto"/>
            <w:noWrap/>
            <w:vAlign w:val="bottom"/>
            <w:hideMark/>
          </w:tcPr>
          <w:p w14:paraId="2A8DA78D" w14:textId="77777777" w:rsidR="003C5CCA" w:rsidRPr="003C5CCA" w:rsidRDefault="003C5CCA" w:rsidP="003C5CCA">
            <w:pPr>
              <w:widowControl/>
              <w:spacing w:after="0" w:line="480" w:lineRule="auto"/>
              <w:ind w:firstLine="0"/>
              <w:jc w:val="center"/>
              <w:rPr>
                <w:rFonts w:ascii="Calibri" w:hAnsi="Calibri" w:cs="Calibri"/>
                <w:color w:val="000000"/>
                <w:lang w:eastAsia="en-US"/>
              </w:rPr>
            </w:pPr>
            <w:r w:rsidRPr="003C5CCA">
              <w:rPr>
                <w:rFonts w:ascii="Calibri" w:hAnsi="Calibri" w:cs="Calibri"/>
                <w:color w:val="000000"/>
                <w:lang w:eastAsia="en-US"/>
              </w:rPr>
              <w:t>12</w:t>
            </w:r>
          </w:p>
        </w:tc>
        <w:tc>
          <w:tcPr>
            <w:tcW w:w="5415" w:type="dxa"/>
            <w:shd w:val="clear" w:color="auto" w:fill="auto"/>
            <w:noWrap/>
            <w:vAlign w:val="bottom"/>
            <w:hideMark/>
          </w:tcPr>
          <w:p w14:paraId="1761A29E"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Explore coaching for executive functioning skills</w:t>
            </w:r>
          </w:p>
        </w:tc>
        <w:tc>
          <w:tcPr>
            <w:tcW w:w="3060" w:type="dxa"/>
            <w:shd w:val="clear" w:color="auto" w:fill="auto"/>
            <w:noWrap/>
            <w:vAlign w:val="bottom"/>
            <w:hideMark/>
          </w:tcPr>
          <w:p w14:paraId="17A84B70" w14:textId="77777777" w:rsidR="003C5CCA" w:rsidRPr="003C5CCA" w:rsidRDefault="003C5CCA" w:rsidP="003C5CCA">
            <w:pPr>
              <w:widowControl/>
              <w:spacing w:after="0" w:line="480" w:lineRule="auto"/>
              <w:ind w:firstLine="0"/>
              <w:rPr>
                <w:rFonts w:ascii="Calibri" w:hAnsi="Calibri" w:cs="Calibri"/>
                <w:color w:val="000000"/>
                <w:lang w:eastAsia="en-US"/>
              </w:rPr>
            </w:pPr>
            <w:r w:rsidRPr="003C5CCA">
              <w:rPr>
                <w:rFonts w:ascii="Calibri" w:hAnsi="Calibri" w:cs="Calibri"/>
                <w:color w:val="000000"/>
                <w:lang w:eastAsia="en-US"/>
              </w:rPr>
              <w:t>Student Engagement</w:t>
            </w:r>
          </w:p>
        </w:tc>
      </w:tr>
    </w:tbl>
    <w:p w14:paraId="5719D23A" w14:textId="77777777" w:rsidR="00EB3BB3" w:rsidRDefault="00EB3BB3" w:rsidP="005B0484">
      <w:pPr>
        <w:spacing w:line="480" w:lineRule="auto"/>
        <w:rPr>
          <w:b/>
          <w:bCs/>
        </w:rPr>
      </w:pPr>
    </w:p>
    <w:p w14:paraId="706F7BDB" w14:textId="43D82BEC" w:rsidR="005B0484" w:rsidRPr="00CB4C1E" w:rsidRDefault="005B0484" w:rsidP="00EB3BB3">
      <w:pPr>
        <w:spacing w:line="480" w:lineRule="auto"/>
        <w:ind w:firstLine="0"/>
        <w:rPr>
          <w:b/>
          <w:bCs/>
        </w:rPr>
      </w:pPr>
      <w:r w:rsidRPr="00CB4C1E">
        <w:rPr>
          <w:b/>
          <w:bCs/>
        </w:rPr>
        <w:t>Share “What We’re Doing and Why It’s Important</w:t>
      </w:r>
      <w:r>
        <w:rPr>
          <w:b/>
          <w:bCs/>
        </w:rPr>
        <w:t>”</w:t>
      </w:r>
    </w:p>
    <w:p w14:paraId="7FEF809C" w14:textId="4935274E" w:rsidR="005B0484" w:rsidRPr="00080639" w:rsidRDefault="005B0484" w:rsidP="005B0484">
      <w:pPr>
        <w:spacing w:line="480" w:lineRule="auto"/>
        <w:rPr>
          <w:i/>
          <w:iCs/>
        </w:rPr>
      </w:pPr>
      <w:r>
        <w:t xml:space="preserve">At the beginning of each classroom session, </w:t>
      </w:r>
      <w:r w:rsidRPr="00001836">
        <w:rPr>
          <w:i/>
          <w:iCs/>
        </w:rPr>
        <w:t>NNL</w:t>
      </w:r>
      <w:r>
        <w:t xml:space="preserve"> instructors make efforts to share the reasons they selected the content and the method of instruction, tying the content to broader goals of the course. </w:t>
      </w:r>
      <w:r w:rsidRPr="005713BB">
        <w:t>Th</w:t>
      </w:r>
      <w:r>
        <w:t>is</w:t>
      </w:r>
      <w:r w:rsidRPr="005713BB">
        <w:t xml:space="preserve"> practice was adopted from </w:t>
      </w:r>
      <w:r>
        <w:t xml:space="preserve">emerging </w:t>
      </w:r>
      <w:r w:rsidRPr="005713BB">
        <w:t xml:space="preserve">concepts within the Transparency in </w:t>
      </w:r>
      <w:r>
        <w:t>Learning and Teaching</w:t>
      </w:r>
      <w:r w:rsidRPr="005713BB">
        <w:t xml:space="preserve"> (TILT) model of academic engagement</w:t>
      </w:r>
      <w:r>
        <w:t xml:space="preserve">. The TILT </w:t>
      </w:r>
      <w:r>
        <w:lastRenderedPageBreak/>
        <w:t xml:space="preserve">model employs </w:t>
      </w:r>
      <w:r w:rsidRPr="005713BB">
        <w:t xml:space="preserve">a set of teaching strategies that focuses on making transparent to students how and why they are learning </w:t>
      </w:r>
      <w:r w:rsidRPr="00391428">
        <w:t>content</w:t>
      </w:r>
      <w:r w:rsidRPr="005713BB">
        <w:t xml:space="preserve"> in particular ways. TILT's goal is to provide more concrete support for student success, </w:t>
      </w:r>
      <w:r w:rsidRPr="00391428">
        <w:t>and</w:t>
      </w:r>
      <w:r w:rsidRPr="005713BB">
        <w:t xml:space="preserve"> encourages faculty to be transparent about their course and assignment design choices to provide answers to questions students might have about their coursework</w:t>
      </w:r>
      <w:r w:rsidRPr="00391428">
        <w:t xml:space="preserve"> such as:</w:t>
      </w:r>
      <w:r>
        <w:t xml:space="preserve"> 1) </w:t>
      </w:r>
      <w:r w:rsidRPr="005713BB">
        <w:rPr>
          <w:i/>
          <w:iCs/>
        </w:rPr>
        <w:t>Why am I learning this information – how will it help me achieve course goals in this course, future courses, or future careers?</w:t>
      </w:r>
      <w:r w:rsidRPr="005713BB">
        <w:t> </w:t>
      </w:r>
      <w:r>
        <w:t xml:space="preserve">2) </w:t>
      </w:r>
      <w:r w:rsidRPr="005713BB">
        <w:rPr>
          <w:i/>
          <w:iCs/>
        </w:rPr>
        <w:t>What is the specific task I’m being asked to do? What steps should I follow?</w:t>
      </w:r>
      <w:r>
        <w:t xml:space="preserve"> 3) </w:t>
      </w:r>
      <w:r w:rsidRPr="005713BB">
        <w:rPr>
          <w:i/>
          <w:iCs/>
        </w:rPr>
        <w:t>How will this doing this activity help me learn or understand course content better?</w:t>
      </w:r>
      <w:r>
        <w:t xml:space="preserve"> 4) </w:t>
      </w:r>
      <w:r w:rsidRPr="005713BB">
        <w:rPr>
          <w:i/>
          <w:iCs/>
        </w:rPr>
        <w:t>What criteria will the instructor use to evaluate my work?</w:t>
      </w:r>
      <w:r>
        <w:rPr>
          <w:i/>
          <w:iCs/>
        </w:rPr>
        <w:t xml:space="preserve"> </w:t>
      </w:r>
      <w:r w:rsidRPr="00CA3354">
        <w:t>(Indiana University Bloomington, n.d.)</w:t>
      </w:r>
    </w:p>
    <w:p w14:paraId="2225CAD9" w14:textId="77777777" w:rsidR="005B0484" w:rsidRPr="00CB4C1E" w:rsidRDefault="005B0484" w:rsidP="00EB3BB3">
      <w:pPr>
        <w:spacing w:line="480" w:lineRule="auto"/>
        <w:ind w:firstLine="0"/>
        <w:rPr>
          <w:b/>
          <w:bCs/>
        </w:rPr>
      </w:pPr>
      <w:r w:rsidRPr="00CB4C1E">
        <w:rPr>
          <w:b/>
          <w:bCs/>
        </w:rPr>
        <w:t>Find Ways to Incorporate Humor</w:t>
      </w:r>
    </w:p>
    <w:p w14:paraId="1EE3A925" w14:textId="1731AC90" w:rsidR="005B0484" w:rsidRDefault="005B0484" w:rsidP="005B0484">
      <w:pPr>
        <w:spacing w:line="480" w:lineRule="auto"/>
      </w:pPr>
      <w:r>
        <w:t xml:space="preserve">While it is often said that neurodivergent students, especially those on the autism spectrum, have difficulty understanding humor, NNL staff observed that the use of humor is particularly engaging to students. Project staff have observed that nearly all neurodivergent students in the program appreciated the use of humor in the classroom, even when such experiences were challenging to them. When staff asked students for advice about using humor, three themes emerged. First, students said it is helpful for an individual to explicitly state they are joking and explain the joke after telling it. Those with longer processing times or a more concrete style of thinking said this practice helps them follow the humor and decreases confusion. Second, students said it helps to check in with them about the various humor being utilized in the classroom. The most common concern heard from students was “Sometimes I just want to know people aren’t laughing at me.” Third, it was observed by staff that using humor over email or other text-based platforms is more challenging as compared to in person. Over text-based platforms, jokes are more difficult to explain, checking in with students is more difficult, and contextual cues such as body language and </w:t>
      </w:r>
      <w:r>
        <w:lastRenderedPageBreak/>
        <w:t>facial expression are absent.</w:t>
      </w:r>
    </w:p>
    <w:p w14:paraId="1EDCC0C4" w14:textId="77777777" w:rsidR="005B0484" w:rsidRPr="00CB4C1E" w:rsidRDefault="005B0484" w:rsidP="00EB3BB3">
      <w:pPr>
        <w:spacing w:line="480" w:lineRule="auto"/>
        <w:ind w:firstLine="0"/>
        <w:rPr>
          <w:b/>
          <w:bCs/>
        </w:rPr>
      </w:pPr>
      <w:r w:rsidRPr="00CB4C1E">
        <w:rPr>
          <w:b/>
          <w:bCs/>
        </w:rPr>
        <w:t>Be Genuine and Be Vulnerable at Times</w:t>
      </w:r>
    </w:p>
    <w:p w14:paraId="15DBEE41" w14:textId="67B5BFE4" w:rsidR="005B0484" w:rsidRDefault="005B0484" w:rsidP="005B0484">
      <w:pPr>
        <w:spacing w:line="480" w:lineRule="auto"/>
      </w:pPr>
      <w:r>
        <w:t>Project staff have observed that neurodivergent students in the program appreciate it when instructors and staff share their “authentic selves” and show vulnerability. On the first day of class, for example, one instructor shared “I am over 50 years old, and it’s still a challenge for me to meet new people and make new friends. I’ve learned some strategies along the way but it’s still hard for me. If you have a hard time with these things, just know that there are others here with similar challenges.” When one student talked about outside noises making it hard for them to learn, a mentor in the program shared “Yes! Me too. There is so much distraction outside today and I’m having a hard time staying focused. I think I understand what you’re saying.”</w:t>
      </w:r>
    </w:p>
    <w:p w14:paraId="314FFF4B" w14:textId="77777777" w:rsidR="005B0484" w:rsidRPr="00CB4C1E" w:rsidRDefault="005B0484" w:rsidP="00EB3BB3">
      <w:pPr>
        <w:spacing w:line="480" w:lineRule="auto"/>
        <w:ind w:firstLine="0"/>
        <w:rPr>
          <w:b/>
          <w:bCs/>
        </w:rPr>
      </w:pPr>
      <w:r w:rsidRPr="00CB4C1E">
        <w:rPr>
          <w:b/>
          <w:bCs/>
        </w:rPr>
        <w:t xml:space="preserve">Build and Share Social Narratives </w:t>
      </w:r>
    </w:p>
    <w:p w14:paraId="6501A541" w14:textId="428F74C8" w:rsidR="005B0484" w:rsidRPr="009829D8" w:rsidRDefault="005B0484" w:rsidP="005B0484">
      <w:pPr>
        <w:spacing w:line="480" w:lineRule="auto"/>
      </w:pPr>
      <w:r w:rsidRPr="00BD5553">
        <w:t xml:space="preserve">A social narrative, also known as a social story, </w:t>
      </w:r>
      <w:r>
        <w:t>is a “</w:t>
      </w:r>
      <w:r w:rsidRPr="009829D8">
        <w:t xml:space="preserve">specially written story that explains a social situation to a student. The emphasis is on describing the situation so that the student can better understanding events as well as the </w:t>
      </w:r>
      <w:r>
        <w:t xml:space="preserve">potential </w:t>
      </w:r>
      <w:r w:rsidRPr="009829D8">
        <w:t>thoughts, feelings and actions of other people. Most social narratives also provide the student with information about what they can do in the situation</w:t>
      </w:r>
      <w:r>
        <w:t>” (Queensland Government, 2022) Project staff provide an online orientation to the campus and classroom activities, including the types of activities to be engaged in, images of buildings and spaces to be visited, anticipated sensory experiences (e.g., the odor in the brain dissection lab, things you can see and hear from the main classroom). For educators interested in more detailed examples of social narratives, the Museum, Arts, and Culture Access Consortium (MAC) maintains a collection of examples on their website (n.d.).</w:t>
      </w:r>
    </w:p>
    <w:p w14:paraId="0B2D939F" w14:textId="77777777" w:rsidR="005B0484" w:rsidRPr="00CB4C1E" w:rsidRDefault="005B0484" w:rsidP="00EB3BB3">
      <w:pPr>
        <w:spacing w:line="480" w:lineRule="auto"/>
        <w:ind w:firstLine="0"/>
        <w:rPr>
          <w:b/>
          <w:bCs/>
        </w:rPr>
      </w:pPr>
      <w:r w:rsidRPr="00CB4C1E">
        <w:rPr>
          <w:b/>
          <w:bCs/>
        </w:rPr>
        <w:lastRenderedPageBreak/>
        <w:t>Allow for Hands-On Learning</w:t>
      </w:r>
    </w:p>
    <w:p w14:paraId="6E84E88A" w14:textId="147FE62A" w:rsidR="005B0484" w:rsidRPr="0091543C" w:rsidRDefault="005B0484" w:rsidP="005B0484">
      <w:pPr>
        <w:spacing w:line="480" w:lineRule="auto"/>
      </w:pPr>
      <w:r w:rsidRPr="00F56CEE">
        <w:rPr>
          <w:i/>
          <w:iCs/>
        </w:rPr>
        <w:t xml:space="preserve">NNL </w:t>
      </w:r>
      <w:r>
        <w:t xml:space="preserve">project staff observed that students were especially engaged during hands-on learning activities, such as the dissection of a sheep brain, the construction of a brain model “brain hat,” neuroscience demonstrations with graduate students, the creation of sound-makers from everyday objects, and creating neuron models. The project employed </w:t>
      </w:r>
      <w:proofErr w:type="gramStart"/>
      <w:r>
        <w:t>a large number of</w:t>
      </w:r>
      <w:proofErr w:type="gramEnd"/>
      <w:r>
        <w:t xml:space="preserve"> hands-on learning activities, believing that </w:t>
      </w:r>
      <w:r w:rsidRPr="0091543C">
        <w:t xml:space="preserve">hands-on learning </w:t>
      </w:r>
      <w:r>
        <w:t xml:space="preserve">is highly engaging. </w:t>
      </w:r>
      <w:r w:rsidRPr="0091543C">
        <w:t>By using multiple styles of learning, the brain creates better connections and can store more relevant information. Brain scans also indicate increased activity in motor-related and sensory parts of the brain when thinking about concepts they learned through hands-on experience</w:t>
      </w:r>
      <w:r>
        <w:t xml:space="preserve"> (</w:t>
      </w:r>
      <w:proofErr w:type="spellStart"/>
      <w:r w:rsidRPr="00525823">
        <w:rPr>
          <w:color w:val="000000"/>
        </w:rPr>
        <w:t>Arnholz</w:t>
      </w:r>
      <w:proofErr w:type="spellEnd"/>
      <w:r>
        <w:rPr>
          <w:color w:val="000000"/>
        </w:rPr>
        <w:t xml:space="preserve">, </w:t>
      </w:r>
      <w:r w:rsidRPr="00525823">
        <w:rPr>
          <w:color w:val="000000"/>
        </w:rPr>
        <w:t>2019</w:t>
      </w:r>
      <w:r>
        <w:rPr>
          <w:color w:val="000000"/>
        </w:rPr>
        <w:t>)</w:t>
      </w:r>
      <w:r w:rsidRPr="0091543C">
        <w:t>.</w:t>
      </w:r>
    </w:p>
    <w:p w14:paraId="7BD9F5A8" w14:textId="77777777" w:rsidR="005B0484" w:rsidRPr="00CB4C1E" w:rsidRDefault="005B0484" w:rsidP="00EB3BB3">
      <w:pPr>
        <w:spacing w:line="480" w:lineRule="auto"/>
        <w:ind w:firstLine="0"/>
        <w:rPr>
          <w:b/>
          <w:bCs/>
        </w:rPr>
      </w:pPr>
      <w:r w:rsidRPr="00CB4C1E">
        <w:rPr>
          <w:b/>
          <w:bCs/>
        </w:rPr>
        <w:t>Encourage Student Teaching of Others</w:t>
      </w:r>
    </w:p>
    <w:p w14:paraId="73B23413" w14:textId="09AD9401" w:rsidR="005B0484" w:rsidRDefault="005B0484" w:rsidP="005B0484">
      <w:pPr>
        <w:spacing w:line="480" w:lineRule="auto"/>
        <w:rPr>
          <w:u w:val="single"/>
        </w:rPr>
      </w:pPr>
      <w:r>
        <w:t xml:space="preserve">To enhance student learning, one student was offered an opportunity to teach one of the neuroscience classes at </w:t>
      </w:r>
      <w:r w:rsidRPr="00F56CEE">
        <w:rPr>
          <w:i/>
          <w:iCs/>
        </w:rPr>
        <w:t>NNL’s</w:t>
      </w:r>
      <w:r>
        <w:t xml:space="preserve"> Summer Study. Through the development and teaching of a course called “The Neuroscience of Facial Recognition,” the student gained confidence in their speaking skills, reinforced their own learning, and acted as a peer mentor to others. Observations from project staff included increased attention from the student group, lively questions, and excitement for the hands-on portion of the class, where students explored the campus in search of items that looked like human faces.</w:t>
      </w:r>
    </w:p>
    <w:p w14:paraId="1684BB76" w14:textId="77777777" w:rsidR="005B0484" w:rsidRPr="00CB4C1E" w:rsidRDefault="005B0484" w:rsidP="00EB3BB3">
      <w:pPr>
        <w:spacing w:line="480" w:lineRule="auto"/>
        <w:ind w:firstLine="0"/>
        <w:rPr>
          <w:b/>
          <w:bCs/>
        </w:rPr>
      </w:pPr>
      <w:r w:rsidRPr="00CB4C1E">
        <w:rPr>
          <w:b/>
          <w:bCs/>
        </w:rPr>
        <w:t xml:space="preserve">Offer </w:t>
      </w:r>
      <w:r>
        <w:rPr>
          <w:b/>
          <w:bCs/>
        </w:rPr>
        <w:t>O</w:t>
      </w:r>
      <w:r w:rsidRPr="00CB4C1E">
        <w:rPr>
          <w:b/>
          <w:bCs/>
        </w:rPr>
        <w:t xml:space="preserve">ptions to </w:t>
      </w:r>
      <w:r>
        <w:rPr>
          <w:b/>
          <w:bCs/>
        </w:rPr>
        <w:t>S</w:t>
      </w:r>
      <w:r w:rsidRPr="00CB4C1E">
        <w:rPr>
          <w:b/>
          <w:bCs/>
        </w:rPr>
        <w:t>tudents</w:t>
      </w:r>
    </w:p>
    <w:p w14:paraId="7D184966" w14:textId="6313AD6C" w:rsidR="005B0484" w:rsidRPr="00BD5553" w:rsidRDefault="005B0484" w:rsidP="005B0484">
      <w:pPr>
        <w:spacing w:line="480" w:lineRule="auto"/>
        <w:rPr>
          <w:u w:val="single"/>
        </w:rPr>
      </w:pPr>
      <w:r>
        <w:t xml:space="preserve">Throughout the </w:t>
      </w:r>
      <w:r w:rsidRPr="00F56CEE">
        <w:rPr>
          <w:i/>
          <w:iCs/>
        </w:rPr>
        <w:t>NNL</w:t>
      </w:r>
      <w:r>
        <w:t xml:space="preserve"> program, students were offered different options to engage content. For example, prior to the sheep brain dissection activity, students were given the option of a small group learning session outside of the lab, to learn about brain structure on a laptop instead of dissecting a real brain. Students were offered options on where they wanted </w:t>
      </w:r>
      <w:r>
        <w:lastRenderedPageBreak/>
        <w:t>to sit in the room, how they might want to respond to questions, and how they might want to control their setting (e.g., a quiet space was close by for students who felt overstimulated and items for fidgeting were placed on tables for students).</w:t>
      </w:r>
    </w:p>
    <w:p w14:paraId="27C4BC5A" w14:textId="77777777" w:rsidR="005B0484" w:rsidRPr="00CB4C1E" w:rsidRDefault="005B0484" w:rsidP="00EB3BB3">
      <w:pPr>
        <w:spacing w:line="480" w:lineRule="auto"/>
        <w:ind w:firstLine="0"/>
        <w:rPr>
          <w:b/>
          <w:bCs/>
        </w:rPr>
      </w:pPr>
      <w:r w:rsidRPr="00CB4C1E">
        <w:rPr>
          <w:b/>
          <w:bCs/>
        </w:rPr>
        <w:t xml:space="preserve">Allow for Student-Driven Content </w:t>
      </w:r>
    </w:p>
    <w:p w14:paraId="624FF26D" w14:textId="489A2F25" w:rsidR="005B0484" w:rsidRPr="003C5CCA" w:rsidRDefault="005B0484" w:rsidP="003C5CCA">
      <w:pPr>
        <w:spacing w:line="480" w:lineRule="auto"/>
      </w:pPr>
      <w:r>
        <w:t xml:space="preserve">Throughout the </w:t>
      </w:r>
      <w:r w:rsidRPr="00F56CEE">
        <w:rPr>
          <w:i/>
          <w:iCs/>
        </w:rPr>
        <w:t>NNL</w:t>
      </w:r>
      <w:r>
        <w:t xml:space="preserve"> program, students were offered the opportunity to suggest topics of interest to them. Project staff intentionally left time in the course to build new content based on student suggestions. For example, students said they wanted to learn how meditation impacts the brain, and requested a session exploring how different kinds of music and experiences with music can impact the brain. The most popular class was one suggested by students: the exploration of how neuroscience is portrayed in movies, with an analysis of a movie’s accuracy and plausibility.</w:t>
      </w:r>
    </w:p>
    <w:p w14:paraId="30142F64" w14:textId="77777777" w:rsidR="005B0484" w:rsidRPr="00CB4C1E" w:rsidRDefault="005B0484" w:rsidP="00D63609">
      <w:pPr>
        <w:spacing w:line="480" w:lineRule="auto"/>
        <w:ind w:firstLine="0"/>
        <w:rPr>
          <w:b/>
          <w:bCs/>
        </w:rPr>
      </w:pPr>
      <w:r w:rsidRPr="00CB4C1E">
        <w:rPr>
          <w:b/>
          <w:bCs/>
        </w:rPr>
        <w:t>Utilize Near-Peer Leaders</w:t>
      </w:r>
    </w:p>
    <w:p w14:paraId="116AE978" w14:textId="5E0F6AF1" w:rsidR="005B0484" w:rsidRPr="00BD5553" w:rsidRDefault="005B0484" w:rsidP="005B0484">
      <w:pPr>
        <w:spacing w:line="480" w:lineRule="auto"/>
        <w:rPr>
          <w:u w:val="single"/>
        </w:rPr>
      </w:pPr>
      <w:r w:rsidRPr="003B66A0">
        <w:t xml:space="preserve">The NNL program utilizes “near-peer” mentors, defined as mentors </w:t>
      </w:r>
      <w:r>
        <w:t>who</w:t>
      </w:r>
      <w:r w:rsidRPr="003B66A0">
        <w:t xml:space="preserve"> are slightly older than mentees. After completion of a summer study session, for example, students can apply to return as mentors. Undergraduate students who identify as neurodiverse also participate in the program to engage with </w:t>
      </w:r>
      <w:r>
        <w:t xml:space="preserve">high school </w:t>
      </w:r>
      <w:r w:rsidRPr="003B66A0">
        <w:t xml:space="preserve">students on college-preparation activities as panelists, </w:t>
      </w:r>
      <w:proofErr w:type="gramStart"/>
      <w:r w:rsidRPr="003B66A0">
        <w:t>provide assistance</w:t>
      </w:r>
      <w:proofErr w:type="gramEnd"/>
      <w:r w:rsidRPr="003B66A0">
        <w:t xml:space="preserve"> with lab work, and other skill building.</w:t>
      </w:r>
      <w:r w:rsidRPr="00373DAB">
        <w:t xml:space="preserve"> Educators at all levels are encouraged to seek opportunities for near-peer mentoring with their neurodivergent students.</w:t>
      </w:r>
    </w:p>
    <w:p w14:paraId="4D8B67C6" w14:textId="77777777" w:rsidR="005B0484" w:rsidRPr="00CB4C1E" w:rsidRDefault="005B0484" w:rsidP="00487282">
      <w:pPr>
        <w:spacing w:line="480" w:lineRule="auto"/>
        <w:ind w:firstLine="0"/>
        <w:rPr>
          <w:b/>
          <w:bCs/>
        </w:rPr>
      </w:pPr>
      <w:r w:rsidRPr="00CB4C1E">
        <w:rPr>
          <w:b/>
          <w:bCs/>
        </w:rPr>
        <w:t xml:space="preserve">Be aware of Assistive Technology </w:t>
      </w:r>
    </w:p>
    <w:p w14:paraId="78190632" w14:textId="10868ADA" w:rsidR="005B0484" w:rsidRPr="00316FDD" w:rsidRDefault="005B0484" w:rsidP="005B0484">
      <w:pPr>
        <w:spacing w:line="480" w:lineRule="auto"/>
      </w:pPr>
      <w:r w:rsidRPr="00316FDD">
        <w:t xml:space="preserve">Educators are encouraged to explore assistive technology </w:t>
      </w:r>
      <w:r>
        <w:t xml:space="preserve">(AT) </w:t>
      </w:r>
      <w:r w:rsidRPr="00316FDD">
        <w:t xml:space="preserve">commonly used by neurodivergent learners, especially in the areas of note taking, organizing ideas, reading, </w:t>
      </w:r>
      <w:r w:rsidRPr="00316FDD">
        <w:lastRenderedPageBreak/>
        <w:t xml:space="preserve">writing, </w:t>
      </w:r>
      <w:r>
        <w:t xml:space="preserve">and </w:t>
      </w:r>
      <w:r w:rsidRPr="00316FDD">
        <w:t>calendaring</w:t>
      </w:r>
      <w:r>
        <w:t xml:space="preserve"> (Exceptional Individuals, n.d.)</w:t>
      </w:r>
      <w:r w:rsidRPr="00316FDD">
        <w:t xml:space="preserve">. Project staff offered opportunities for students to learn about and try AT in the classroom. For example, </w:t>
      </w:r>
      <w:r>
        <w:t>three of the four</w:t>
      </w:r>
      <w:r w:rsidRPr="00316FDD">
        <w:t xml:space="preserve"> students </w:t>
      </w:r>
      <w:r>
        <w:t xml:space="preserve">who </w:t>
      </w:r>
      <w:r w:rsidRPr="00316FDD">
        <w:t xml:space="preserve">tried using smart pens for the first time during the </w:t>
      </w:r>
      <w:r>
        <w:t xml:space="preserve">summer study </w:t>
      </w:r>
      <w:r w:rsidRPr="00316FDD">
        <w:t>program</w:t>
      </w:r>
      <w:r>
        <w:t xml:space="preserve"> stated they would continue using the technology during their academic year</w:t>
      </w:r>
      <w:r w:rsidRPr="00316FDD">
        <w:t>. A smart pen</w:t>
      </w:r>
      <w:r>
        <w:t>, in combination with specialized notebook paper,</w:t>
      </w:r>
      <w:r w:rsidRPr="00316FDD">
        <w:t xml:space="preserve"> </w:t>
      </w:r>
      <w:r>
        <w:t xml:space="preserve">allows the user to record a lecture and synchronize the audio recording to their written notes. Later, when the user is reviewing their written notes, they can easily locate and play back the related audio content. </w:t>
      </w:r>
    </w:p>
    <w:p w14:paraId="730FA240" w14:textId="77777777" w:rsidR="005B0484" w:rsidRPr="00CB4C1E" w:rsidRDefault="005B0484" w:rsidP="00F8586D">
      <w:pPr>
        <w:spacing w:line="480" w:lineRule="auto"/>
        <w:ind w:firstLine="0"/>
        <w:rPr>
          <w:b/>
          <w:bCs/>
        </w:rPr>
      </w:pPr>
      <w:r w:rsidRPr="00CB4C1E">
        <w:rPr>
          <w:b/>
          <w:bCs/>
        </w:rPr>
        <w:t>Focus on Student Strengths</w:t>
      </w:r>
    </w:p>
    <w:p w14:paraId="39D05548" w14:textId="77777777" w:rsidR="005B0484" w:rsidRDefault="005B0484" w:rsidP="005B0484">
      <w:pPr>
        <w:spacing w:line="480" w:lineRule="auto"/>
      </w:pPr>
      <w:r w:rsidRPr="00B05DD8">
        <w:t xml:space="preserve">Project staff </w:t>
      </w:r>
      <w:r>
        <w:t xml:space="preserve">are encouraged to invest time with students to ask them about their academic and social strengths, and actively encourage students to build on and utilize their strengths in the classroom. </w:t>
      </w:r>
      <w:r w:rsidRPr="00F56CEE">
        <w:rPr>
          <w:i/>
          <w:iCs/>
        </w:rPr>
        <w:t>NNL</w:t>
      </w:r>
      <w:r>
        <w:t xml:space="preserve"> students learn about “strengths-based” models of viewing disability, which </w:t>
      </w:r>
      <w:r w:rsidRPr="00C1580D">
        <w:t>means focusing on what the person can do</w:t>
      </w:r>
      <w:r>
        <w:t xml:space="preserve"> well</w:t>
      </w:r>
      <w:r w:rsidRPr="00C1580D">
        <w:t xml:space="preserve">, not what they cannot do because of their disability. </w:t>
      </w:r>
      <w:r>
        <w:t>Students are encouraged to</w:t>
      </w:r>
      <w:r w:rsidRPr="00C1580D">
        <w:t xml:space="preserve"> recognize traits related to their disability that make them unique</w:t>
      </w:r>
      <w:r>
        <w:t>, helping them</w:t>
      </w:r>
      <w:r w:rsidRPr="00C1580D">
        <w:t xml:space="preserve"> see that these traits </w:t>
      </w:r>
      <w:r>
        <w:t xml:space="preserve">can </w:t>
      </w:r>
      <w:r w:rsidRPr="00C1580D">
        <w:t xml:space="preserve">contribute </w:t>
      </w:r>
      <w:r>
        <w:t xml:space="preserve">positively </w:t>
      </w:r>
      <w:r w:rsidRPr="00C1580D">
        <w:t>to their identity</w:t>
      </w:r>
      <w:r>
        <w:t>. Common strengths reported by students in the program included the following:</w:t>
      </w:r>
    </w:p>
    <w:p w14:paraId="08647185" w14:textId="77777777" w:rsidR="005B0484" w:rsidRPr="00C1580D" w:rsidRDefault="005B0484" w:rsidP="005B0484">
      <w:pPr>
        <w:pStyle w:val="ListParagraph"/>
        <w:numPr>
          <w:ilvl w:val="0"/>
          <w:numId w:val="6"/>
        </w:numPr>
        <w:spacing w:after="0" w:line="480" w:lineRule="auto"/>
        <w:rPr>
          <w:rFonts w:ascii="Times New Roman" w:hAnsi="Times New Roman" w:cs="Times New Roman"/>
        </w:rPr>
      </w:pPr>
      <w:r w:rsidRPr="00C1580D">
        <w:rPr>
          <w:rFonts w:ascii="Times New Roman" w:hAnsi="Times New Roman" w:cs="Times New Roman"/>
        </w:rPr>
        <w:t xml:space="preserve">Does well </w:t>
      </w:r>
      <w:r>
        <w:rPr>
          <w:rFonts w:ascii="Times New Roman" w:hAnsi="Times New Roman" w:cs="Times New Roman"/>
        </w:rPr>
        <w:t>in</w:t>
      </w:r>
      <w:r w:rsidRPr="00C1580D">
        <w:rPr>
          <w:rFonts w:ascii="Times New Roman" w:hAnsi="Times New Roman" w:cs="Times New Roman"/>
        </w:rPr>
        <w:t xml:space="preserve"> online learning</w:t>
      </w:r>
    </w:p>
    <w:p w14:paraId="10639DF0" w14:textId="77777777" w:rsidR="005B0484" w:rsidRPr="00C1580D" w:rsidRDefault="005B0484" w:rsidP="005B0484">
      <w:pPr>
        <w:pStyle w:val="ListParagraph"/>
        <w:numPr>
          <w:ilvl w:val="0"/>
          <w:numId w:val="6"/>
        </w:numPr>
        <w:spacing w:after="0" w:line="480" w:lineRule="auto"/>
        <w:rPr>
          <w:rFonts w:ascii="Times New Roman" w:hAnsi="Times New Roman" w:cs="Times New Roman"/>
        </w:rPr>
      </w:pPr>
      <w:r w:rsidRPr="00C1580D">
        <w:rPr>
          <w:rFonts w:ascii="Times New Roman" w:hAnsi="Times New Roman" w:cs="Times New Roman"/>
        </w:rPr>
        <w:t xml:space="preserve">Creative thinking </w:t>
      </w:r>
      <w:r>
        <w:rPr>
          <w:rFonts w:ascii="Times New Roman" w:hAnsi="Times New Roman" w:cs="Times New Roman"/>
        </w:rPr>
        <w:t>and</w:t>
      </w:r>
      <w:r w:rsidRPr="00C1580D">
        <w:rPr>
          <w:rFonts w:ascii="Times New Roman" w:hAnsi="Times New Roman" w:cs="Times New Roman"/>
        </w:rPr>
        <w:t xml:space="preserve"> problem solving</w:t>
      </w:r>
    </w:p>
    <w:p w14:paraId="58AEB084" w14:textId="77777777" w:rsidR="005B0484" w:rsidRPr="00C1580D" w:rsidRDefault="005B0484" w:rsidP="005B0484">
      <w:pPr>
        <w:pStyle w:val="ListParagraph"/>
        <w:numPr>
          <w:ilvl w:val="0"/>
          <w:numId w:val="6"/>
        </w:numPr>
        <w:spacing w:after="0" w:line="480" w:lineRule="auto"/>
        <w:rPr>
          <w:rFonts w:ascii="Times New Roman" w:hAnsi="Times New Roman" w:cs="Times New Roman"/>
        </w:rPr>
      </w:pPr>
      <w:r w:rsidRPr="00C1580D">
        <w:rPr>
          <w:rFonts w:ascii="Times New Roman" w:hAnsi="Times New Roman" w:cs="Times New Roman"/>
        </w:rPr>
        <w:t>Persistence and dedication</w:t>
      </w:r>
    </w:p>
    <w:p w14:paraId="40B697DD" w14:textId="77777777" w:rsidR="005B0484" w:rsidRPr="00C1580D" w:rsidRDefault="005B0484" w:rsidP="005B0484">
      <w:pPr>
        <w:pStyle w:val="ListParagraph"/>
        <w:numPr>
          <w:ilvl w:val="0"/>
          <w:numId w:val="6"/>
        </w:numPr>
        <w:spacing w:after="0" w:line="480" w:lineRule="auto"/>
        <w:rPr>
          <w:rFonts w:ascii="Times New Roman" w:hAnsi="Times New Roman" w:cs="Times New Roman"/>
        </w:rPr>
      </w:pPr>
      <w:r w:rsidRPr="00C1580D">
        <w:rPr>
          <w:rFonts w:ascii="Times New Roman" w:hAnsi="Times New Roman" w:cs="Times New Roman"/>
        </w:rPr>
        <w:t>Empathy skills</w:t>
      </w:r>
      <w:r>
        <w:rPr>
          <w:rFonts w:ascii="Times New Roman" w:hAnsi="Times New Roman" w:cs="Times New Roman"/>
        </w:rPr>
        <w:t xml:space="preserve"> and</w:t>
      </w:r>
      <w:r w:rsidRPr="00C1580D">
        <w:rPr>
          <w:rFonts w:ascii="Times New Roman" w:hAnsi="Times New Roman" w:cs="Times New Roman"/>
        </w:rPr>
        <w:t xml:space="preserve"> kindness</w:t>
      </w:r>
    </w:p>
    <w:p w14:paraId="37ECBFF1" w14:textId="77777777" w:rsidR="005B0484" w:rsidRPr="00C1580D" w:rsidRDefault="005B0484" w:rsidP="005B0484">
      <w:pPr>
        <w:pStyle w:val="ListParagraph"/>
        <w:numPr>
          <w:ilvl w:val="0"/>
          <w:numId w:val="6"/>
        </w:numPr>
        <w:spacing w:after="0" w:line="480" w:lineRule="auto"/>
        <w:rPr>
          <w:rFonts w:ascii="Times New Roman" w:hAnsi="Times New Roman" w:cs="Times New Roman"/>
        </w:rPr>
      </w:pPr>
      <w:r w:rsidRPr="00C1580D">
        <w:rPr>
          <w:rFonts w:ascii="Times New Roman" w:hAnsi="Times New Roman" w:cs="Times New Roman"/>
        </w:rPr>
        <w:t>Strong or detailed memory</w:t>
      </w:r>
    </w:p>
    <w:p w14:paraId="108C6568" w14:textId="77777777" w:rsidR="005B0484" w:rsidRPr="00C1580D" w:rsidRDefault="005B0484" w:rsidP="005B0484">
      <w:pPr>
        <w:pStyle w:val="ListParagraph"/>
        <w:numPr>
          <w:ilvl w:val="0"/>
          <w:numId w:val="6"/>
        </w:numPr>
        <w:spacing w:after="0" w:line="480" w:lineRule="auto"/>
        <w:rPr>
          <w:rFonts w:ascii="Times New Roman" w:hAnsi="Times New Roman" w:cs="Times New Roman"/>
        </w:rPr>
      </w:pPr>
      <w:r w:rsidRPr="00C1580D">
        <w:rPr>
          <w:rFonts w:ascii="Times New Roman" w:hAnsi="Times New Roman" w:cs="Times New Roman"/>
        </w:rPr>
        <w:t>Spatial memory</w:t>
      </w:r>
      <w:r>
        <w:rPr>
          <w:rFonts w:ascii="Times New Roman" w:hAnsi="Times New Roman" w:cs="Times New Roman"/>
        </w:rPr>
        <w:t xml:space="preserve"> and three-dimensional </w:t>
      </w:r>
      <w:r w:rsidRPr="00C1580D">
        <w:rPr>
          <w:rFonts w:ascii="Times New Roman" w:hAnsi="Times New Roman" w:cs="Times New Roman"/>
        </w:rPr>
        <w:t>thinking</w:t>
      </w:r>
    </w:p>
    <w:p w14:paraId="751B0CFC" w14:textId="77777777" w:rsidR="005B0484" w:rsidRPr="00C1580D" w:rsidRDefault="005B0484" w:rsidP="005B0484">
      <w:pPr>
        <w:pStyle w:val="ListParagraph"/>
        <w:numPr>
          <w:ilvl w:val="0"/>
          <w:numId w:val="6"/>
        </w:numPr>
        <w:spacing w:after="0" w:line="480" w:lineRule="auto"/>
        <w:rPr>
          <w:rFonts w:ascii="Times New Roman" w:hAnsi="Times New Roman" w:cs="Times New Roman"/>
        </w:rPr>
      </w:pPr>
      <w:r w:rsidRPr="00C1580D">
        <w:rPr>
          <w:rFonts w:ascii="Times New Roman" w:hAnsi="Times New Roman" w:cs="Times New Roman"/>
        </w:rPr>
        <w:t>Music and artistic skills</w:t>
      </w:r>
    </w:p>
    <w:p w14:paraId="29CE2752" w14:textId="77777777" w:rsidR="005B0484" w:rsidRPr="00C1580D" w:rsidRDefault="005B0484" w:rsidP="005B0484">
      <w:pPr>
        <w:pStyle w:val="ListParagraph"/>
        <w:numPr>
          <w:ilvl w:val="0"/>
          <w:numId w:val="6"/>
        </w:numPr>
        <w:spacing w:after="0" w:line="480" w:lineRule="auto"/>
        <w:rPr>
          <w:rFonts w:ascii="Times New Roman" w:hAnsi="Times New Roman" w:cs="Times New Roman"/>
        </w:rPr>
      </w:pPr>
      <w:r w:rsidRPr="00C1580D">
        <w:rPr>
          <w:rFonts w:ascii="Times New Roman" w:hAnsi="Times New Roman" w:cs="Times New Roman"/>
        </w:rPr>
        <w:lastRenderedPageBreak/>
        <w:t xml:space="preserve">Honest and </w:t>
      </w:r>
      <w:r>
        <w:rPr>
          <w:rFonts w:ascii="Times New Roman" w:hAnsi="Times New Roman" w:cs="Times New Roman"/>
        </w:rPr>
        <w:t>d</w:t>
      </w:r>
      <w:r w:rsidRPr="00C1580D">
        <w:rPr>
          <w:rFonts w:ascii="Times New Roman" w:hAnsi="Times New Roman" w:cs="Times New Roman"/>
        </w:rPr>
        <w:t xml:space="preserve">irect </w:t>
      </w:r>
      <w:r>
        <w:rPr>
          <w:rFonts w:ascii="Times New Roman" w:hAnsi="Times New Roman" w:cs="Times New Roman"/>
        </w:rPr>
        <w:t>c</w:t>
      </w:r>
      <w:r w:rsidRPr="00C1580D">
        <w:rPr>
          <w:rFonts w:ascii="Times New Roman" w:hAnsi="Times New Roman" w:cs="Times New Roman"/>
        </w:rPr>
        <w:t>ommunication</w:t>
      </w:r>
    </w:p>
    <w:p w14:paraId="64C72D5C" w14:textId="77777777" w:rsidR="005B0484" w:rsidRPr="00C1580D" w:rsidRDefault="005B0484" w:rsidP="005B0484">
      <w:pPr>
        <w:pStyle w:val="ListParagraph"/>
        <w:numPr>
          <w:ilvl w:val="0"/>
          <w:numId w:val="6"/>
        </w:numPr>
        <w:spacing w:after="0" w:line="480" w:lineRule="auto"/>
        <w:rPr>
          <w:rFonts w:ascii="Times New Roman" w:hAnsi="Times New Roman" w:cs="Times New Roman"/>
        </w:rPr>
      </w:pPr>
      <w:r w:rsidRPr="00C1580D">
        <w:rPr>
          <w:rFonts w:ascii="Times New Roman" w:hAnsi="Times New Roman" w:cs="Times New Roman"/>
        </w:rPr>
        <w:t>Strength in mathematics</w:t>
      </w:r>
    </w:p>
    <w:p w14:paraId="48240195" w14:textId="148984DF" w:rsidR="005B0484" w:rsidRPr="00B05DD8" w:rsidRDefault="005B0484" w:rsidP="005B0484">
      <w:pPr>
        <w:spacing w:line="480" w:lineRule="auto"/>
      </w:pPr>
      <w:r>
        <w:t xml:space="preserve">Students in the program also learned about historical models of disability such as the “medical model,” which has </w:t>
      </w:r>
      <w:r w:rsidRPr="00B05DD8">
        <w:t>view</w:t>
      </w:r>
      <w:r>
        <w:t>ed</w:t>
      </w:r>
      <w:r w:rsidRPr="00B05DD8">
        <w:t xml:space="preserve"> disability as a defect within the individual. </w:t>
      </w:r>
      <w:r>
        <w:t>In this model, d</w:t>
      </w:r>
      <w:r w:rsidRPr="00B05DD8">
        <w:t xml:space="preserve">isability is </w:t>
      </w:r>
      <w:r>
        <w:t xml:space="preserve">viewed as </w:t>
      </w:r>
      <w:r w:rsidRPr="00B05DD8">
        <w:t xml:space="preserve">an </w:t>
      </w:r>
      <w:r>
        <w:t>unfortunate trait that needs to be “fixed.” They are encouraged to consider how various models might impact their identity and experiences.</w:t>
      </w:r>
    </w:p>
    <w:p w14:paraId="285D7ED5" w14:textId="77777777" w:rsidR="005B0484" w:rsidRPr="00CB4C1E" w:rsidRDefault="005B0484" w:rsidP="00F8586D">
      <w:pPr>
        <w:spacing w:line="480" w:lineRule="auto"/>
        <w:ind w:firstLine="0"/>
        <w:rPr>
          <w:b/>
          <w:bCs/>
        </w:rPr>
      </w:pPr>
      <w:r w:rsidRPr="00CB4C1E">
        <w:rPr>
          <w:b/>
          <w:bCs/>
        </w:rPr>
        <w:t>Explore Coaching for Executive Functioning Skills</w:t>
      </w:r>
    </w:p>
    <w:p w14:paraId="25D772B8" w14:textId="7584B9CB" w:rsidR="005B0484" w:rsidRPr="000F229E" w:rsidRDefault="005B0484" w:rsidP="005B0484">
      <w:pPr>
        <w:spacing w:line="480" w:lineRule="auto"/>
      </w:pPr>
      <w:r w:rsidRPr="000F229E">
        <w:t xml:space="preserve">Educators are encouraged to explore how they might support the development of executive functioning skills in their </w:t>
      </w:r>
      <w:r>
        <w:t xml:space="preserve">disabled </w:t>
      </w:r>
      <w:r w:rsidRPr="000F229E">
        <w:t>students</w:t>
      </w:r>
      <w:r>
        <w:t>, especially neurodivergent learners (Bellman, et al., 2015)</w:t>
      </w:r>
      <w:r w:rsidRPr="000F229E">
        <w:t>. Executive function</w:t>
      </w:r>
      <w:r>
        <w:t>ing</w:t>
      </w:r>
      <w:r w:rsidRPr="000F229E">
        <w:t xml:space="preserve"> skills </w:t>
      </w:r>
      <w:r>
        <w:t>typically</w:t>
      </w:r>
      <w:r w:rsidRPr="000F229E">
        <w:t xml:space="preserve"> develop quickly in childhood and </w:t>
      </w:r>
      <w:r>
        <w:t>during</w:t>
      </w:r>
      <w:r w:rsidRPr="000F229E">
        <w:t xml:space="preserve"> the teen years</w:t>
      </w:r>
      <w:r>
        <w:t xml:space="preserve"> b</w:t>
      </w:r>
      <w:r w:rsidRPr="000F229E">
        <w:t>ut keep developing into the mid 20s.</w:t>
      </w:r>
      <w:r>
        <w:t xml:space="preserve"> Trained “academic coaches” can help students build skills in the areas of p</w:t>
      </w:r>
      <w:r w:rsidRPr="000F229E">
        <w:t>aying attention</w:t>
      </w:r>
      <w:r>
        <w:t>; o</w:t>
      </w:r>
      <w:r w:rsidRPr="000F229E">
        <w:t>rganizing, planning, and prioritizing</w:t>
      </w:r>
      <w:r>
        <w:t>; s</w:t>
      </w:r>
      <w:r w:rsidRPr="000F229E">
        <w:t>tarting tasks and staying focused on them to completion</w:t>
      </w:r>
      <w:r>
        <w:t>; u</w:t>
      </w:r>
      <w:r w:rsidRPr="000F229E">
        <w:t>nderstanding different points of view</w:t>
      </w:r>
      <w:r>
        <w:t>; r</w:t>
      </w:r>
      <w:r w:rsidRPr="000F229E">
        <w:t>egulating emotions</w:t>
      </w:r>
      <w:r>
        <w:t>; and s</w:t>
      </w:r>
      <w:r w:rsidRPr="000F229E">
        <w:t>elf-monitoring (keeping track of what you’re doing)</w:t>
      </w:r>
      <w:r>
        <w:t>.</w:t>
      </w:r>
    </w:p>
    <w:p w14:paraId="5558BF4E" w14:textId="77777777" w:rsidR="005B0484" w:rsidRPr="00F31178" w:rsidRDefault="005B0484" w:rsidP="00F8586D">
      <w:pPr>
        <w:spacing w:line="480" w:lineRule="auto"/>
        <w:ind w:firstLine="0"/>
        <w:jc w:val="center"/>
        <w:rPr>
          <w:b/>
          <w:bCs/>
        </w:rPr>
      </w:pPr>
      <w:r w:rsidRPr="00ED4327">
        <w:rPr>
          <w:b/>
          <w:bCs/>
        </w:rPr>
        <w:t>Results</w:t>
      </w:r>
    </w:p>
    <w:p w14:paraId="48AFF198" w14:textId="77777777" w:rsidR="005B0484" w:rsidRPr="00ED4327" w:rsidRDefault="005B0484" w:rsidP="005B0484">
      <w:pPr>
        <w:pStyle w:val="Default"/>
        <w:spacing w:line="480" w:lineRule="auto"/>
        <w:ind w:firstLine="720"/>
        <w:rPr>
          <w:rFonts w:ascii="Times New Roman" w:hAnsi="Times New Roman" w:cs="Times New Roman"/>
          <w:color w:val="auto"/>
        </w:rPr>
      </w:pPr>
      <w:r w:rsidRPr="00ED4327">
        <w:rPr>
          <w:rFonts w:ascii="Times New Roman" w:hAnsi="Times New Roman" w:cs="Times New Roman"/>
          <w:color w:val="auto"/>
        </w:rPr>
        <w:t xml:space="preserve">The application process for the </w:t>
      </w:r>
      <w:r w:rsidRPr="00E879F1">
        <w:rPr>
          <w:rFonts w:ascii="Times New Roman" w:hAnsi="Times New Roman" w:cs="Times New Roman"/>
          <w:i/>
          <w:iCs/>
          <w:color w:val="auto"/>
        </w:rPr>
        <w:t>NNL</w:t>
      </w:r>
      <w:r w:rsidRPr="00ED4327">
        <w:rPr>
          <w:rFonts w:ascii="Times New Roman" w:hAnsi="Times New Roman" w:cs="Times New Roman"/>
          <w:color w:val="auto"/>
        </w:rPr>
        <w:t xml:space="preserve"> program was competitive</w:t>
      </w:r>
      <w:r>
        <w:rPr>
          <w:rFonts w:ascii="Times New Roman" w:hAnsi="Times New Roman" w:cs="Times New Roman"/>
          <w:color w:val="auto"/>
        </w:rPr>
        <w:t>,</w:t>
      </w:r>
      <w:r w:rsidRPr="00ED4327">
        <w:rPr>
          <w:rFonts w:ascii="Times New Roman" w:hAnsi="Times New Roman" w:cs="Times New Roman"/>
          <w:color w:val="auto"/>
        </w:rPr>
        <w:t xml:space="preserve"> and applicants had to meet the following criteria to be eligible for consideration</w:t>
      </w:r>
      <w:r>
        <w:rPr>
          <w:rFonts w:ascii="Times New Roman" w:hAnsi="Times New Roman" w:cs="Times New Roman"/>
          <w:color w:val="auto"/>
        </w:rPr>
        <w:t>:</w:t>
      </w:r>
    </w:p>
    <w:p w14:paraId="20D44164" w14:textId="77777777" w:rsidR="005B0484" w:rsidRPr="00782EC2" w:rsidRDefault="005B0484" w:rsidP="005B0484">
      <w:pPr>
        <w:pStyle w:val="Default"/>
        <w:numPr>
          <w:ilvl w:val="0"/>
          <w:numId w:val="4"/>
        </w:numPr>
        <w:spacing w:line="480" w:lineRule="auto"/>
        <w:rPr>
          <w:rFonts w:ascii="Times New Roman" w:hAnsi="Times New Roman" w:cs="Times New Roman"/>
        </w:rPr>
      </w:pPr>
      <w:r w:rsidRPr="00ED4327">
        <w:rPr>
          <w:rFonts w:ascii="Times New Roman" w:hAnsi="Times New Roman" w:cs="Times New Roman"/>
          <w:color w:val="auto"/>
        </w:rPr>
        <w:t xml:space="preserve">Identify as a neurodiverse learner (defined </w:t>
      </w:r>
      <w:r w:rsidRPr="00782EC2">
        <w:rPr>
          <w:rFonts w:ascii="Times New Roman" w:hAnsi="Times New Roman" w:cs="Times New Roman"/>
        </w:rPr>
        <w:t>as those with academic challenges related to conditions such as dyspraxia, dyslexia, attention deficit hyperactivity disorder, dyscalculia, autism spectrum disorder, and Tourette syndrome).</w:t>
      </w:r>
    </w:p>
    <w:p w14:paraId="09DD65C2" w14:textId="77777777" w:rsidR="005B0484" w:rsidRPr="00782EC2" w:rsidRDefault="005B0484" w:rsidP="005B0484">
      <w:pPr>
        <w:pStyle w:val="Default"/>
        <w:numPr>
          <w:ilvl w:val="0"/>
          <w:numId w:val="4"/>
        </w:numPr>
        <w:spacing w:line="480" w:lineRule="auto"/>
        <w:rPr>
          <w:rFonts w:ascii="Times New Roman" w:hAnsi="Times New Roman" w:cs="Times New Roman"/>
        </w:rPr>
      </w:pPr>
      <w:r w:rsidRPr="00782EC2">
        <w:rPr>
          <w:rFonts w:ascii="Times New Roman" w:hAnsi="Times New Roman" w:cs="Times New Roman"/>
        </w:rPr>
        <w:t>Have aptitude and interest in attending college.</w:t>
      </w:r>
    </w:p>
    <w:p w14:paraId="0D958172" w14:textId="77777777" w:rsidR="005B0484" w:rsidRPr="00782EC2" w:rsidRDefault="005B0484" w:rsidP="005B0484">
      <w:pPr>
        <w:pStyle w:val="Default"/>
        <w:numPr>
          <w:ilvl w:val="0"/>
          <w:numId w:val="4"/>
        </w:numPr>
        <w:spacing w:line="480" w:lineRule="auto"/>
        <w:rPr>
          <w:rFonts w:ascii="Times New Roman" w:hAnsi="Times New Roman" w:cs="Times New Roman"/>
        </w:rPr>
      </w:pPr>
      <w:r w:rsidRPr="00782EC2">
        <w:rPr>
          <w:rFonts w:ascii="Times New Roman" w:hAnsi="Times New Roman" w:cs="Times New Roman"/>
        </w:rPr>
        <w:t>Currently be a high school sophomore, junior, or senior</w:t>
      </w:r>
      <w:r>
        <w:rPr>
          <w:rFonts w:ascii="Times New Roman" w:hAnsi="Times New Roman" w:cs="Times New Roman"/>
        </w:rPr>
        <w:t xml:space="preserve">, or in their first year of </w:t>
      </w:r>
      <w:r>
        <w:rPr>
          <w:rFonts w:ascii="Times New Roman" w:hAnsi="Times New Roman" w:cs="Times New Roman"/>
        </w:rPr>
        <w:lastRenderedPageBreak/>
        <w:t>college.</w:t>
      </w:r>
    </w:p>
    <w:p w14:paraId="3B93AE35" w14:textId="77777777" w:rsidR="005B0484" w:rsidRDefault="005B0484" w:rsidP="005B0484">
      <w:pPr>
        <w:pStyle w:val="Default"/>
        <w:numPr>
          <w:ilvl w:val="0"/>
          <w:numId w:val="4"/>
        </w:numPr>
        <w:spacing w:line="480" w:lineRule="auto"/>
        <w:rPr>
          <w:rFonts w:ascii="Times New Roman" w:hAnsi="Times New Roman" w:cs="Times New Roman"/>
        </w:rPr>
      </w:pPr>
      <w:r w:rsidRPr="00782EC2">
        <w:rPr>
          <w:rFonts w:ascii="Times New Roman" w:hAnsi="Times New Roman" w:cs="Times New Roman"/>
        </w:rPr>
        <w:t>Have access to a computer and internet connection to use video conferencing tools.</w:t>
      </w:r>
    </w:p>
    <w:p w14:paraId="2B8EFF25" w14:textId="77777777" w:rsidR="005B0484" w:rsidRPr="00CB4C1E" w:rsidRDefault="005B0484" w:rsidP="005B0484">
      <w:pPr>
        <w:pStyle w:val="Default"/>
        <w:spacing w:line="480" w:lineRule="auto"/>
        <w:ind w:left="720"/>
        <w:rPr>
          <w:rFonts w:ascii="Times New Roman" w:hAnsi="Times New Roman" w:cs="Times New Roman"/>
        </w:rPr>
      </w:pPr>
    </w:p>
    <w:p w14:paraId="27DF0AC1" w14:textId="77777777" w:rsidR="005B0484" w:rsidRPr="00782EC2" w:rsidRDefault="005B0484" w:rsidP="005B0484">
      <w:pPr>
        <w:pStyle w:val="Default"/>
        <w:spacing w:line="480" w:lineRule="auto"/>
        <w:ind w:firstLine="720"/>
        <w:rPr>
          <w:rFonts w:ascii="Times New Roman" w:hAnsi="Times New Roman" w:cs="Times New Roman"/>
          <w:color w:val="auto"/>
        </w:rPr>
      </w:pPr>
      <w:r w:rsidRPr="00782EC2">
        <w:rPr>
          <w:rFonts w:ascii="Times New Roman" w:hAnsi="Times New Roman" w:cs="Times New Roman"/>
        </w:rPr>
        <w:t>The C</w:t>
      </w:r>
      <w:r>
        <w:rPr>
          <w:rFonts w:ascii="Times New Roman" w:hAnsi="Times New Roman" w:cs="Times New Roman"/>
        </w:rPr>
        <w:t>OVID</w:t>
      </w:r>
      <w:r w:rsidRPr="00782EC2">
        <w:rPr>
          <w:rFonts w:ascii="Times New Roman" w:hAnsi="Times New Roman" w:cs="Times New Roman"/>
        </w:rPr>
        <w:t xml:space="preserve">-19 pandemic had a significant impact on the student activities. </w:t>
      </w:r>
      <w:r w:rsidRPr="00782EC2">
        <w:rPr>
          <w:rFonts w:ascii="Times New Roman" w:hAnsi="Times New Roman" w:cs="Times New Roman"/>
          <w:bCs/>
        </w:rPr>
        <w:t xml:space="preserve">Due to the pandemic, </w:t>
      </w:r>
      <w:r>
        <w:rPr>
          <w:rFonts w:ascii="Times New Roman" w:hAnsi="Times New Roman" w:cs="Times New Roman"/>
          <w:bCs/>
        </w:rPr>
        <w:t>project staff</w:t>
      </w:r>
      <w:r w:rsidRPr="00782EC2">
        <w:rPr>
          <w:rFonts w:ascii="Times New Roman" w:hAnsi="Times New Roman" w:cs="Times New Roman"/>
          <w:bCs/>
        </w:rPr>
        <w:t xml:space="preserve"> were forced to pivot many activities that were planned to be on-site to virtual environments. As the pandemic and the resulting guidelines regarding in-person events changed every year of the project, the data collected each year can</w:t>
      </w:r>
      <w:r>
        <w:rPr>
          <w:rFonts w:ascii="Times New Roman" w:hAnsi="Times New Roman" w:cs="Times New Roman"/>
          <w:bCs/>
        </w:rPr>
        <w:t>not</w:t>
      </w:r>
      <w:r w:rsidRPr="00782EC2">
        <w:rPr>
          <w:rFonts w:ascii="Times New Roman" w:hAnsi="Times New Roman" w:cs="Times New Roman"/>
          <w:bCs/>
        </w:rPr>
        <w:t xml:space="preserve"> be compared</w:t>
      </w:r>
      <w:r w:rsidRPr="001D084F">
        <w:rPr>
          <w:rFonts w:ascii="Times New Roman" w:hAnsi="Times New Roman" w:cs="Times New Roman"/>
          <w:bCs/>
        </w:rPr>
        <w:t xml:space="preserve"> </w:t>
      </w:r>
      <w:r w:rsidRPr="00782EC2">
        <w:rPr>
          <w:rFonts w:ascii="Times New Roman" w:hAnsi="Times New Roman" w:cs="Times New Roman"/>
          <w:bCs/>
        </w:rPr>
        <w:t xml:space="preserve">directly. No two years were conducted in </w:t>
      </w:r>
      <w:proofErr w:type="gramStart"/>
      <w:r w:rsidRPr="00782EC2">
        <w:rPr>
          <w:rFonts w:ascii="Times New Roman" w:hAnsi="Times New Roman" w:cs="Times New Roman"/>
          <w:bCs/>
        </w:rPr>
        <w:t>exactly the same</w:t>
      </w:r>
      <w:proofErr w:type="gramEnd"/>
      <w:r w:rsidRPr="00782EC2">
        <w:rPr>
          <w:rFonts w:ascii="Times New Roman" w:hAnsi="Times New Roman" w:cs="Times New Roman"/>
          <w:bCs/>
        </w:rPr>
        <w:t xml:space="preserve"> way. Below</w:t>
      </w:r>
      <w:r>
        <w:rPr>
          <w:rFonts w:ascii="Times New Roman" w:hAnsi="Times New Roman" w:cs="Times New Roman"/>
          <w:bCs/>
        </w:rPr>
        <w:t xml:space="preserve"> is</w:t>
      </w:r>
      <w:r w:rsidRPr="00782EC2">
        <w:rPr>
          <w:rFonts w:ascii="Times New Roman" w:hAnsi="Times New Roman" w:cs="Times New Roman"/>
          <w:bCs/>
        </w:rPr>
        <w:t xml:space="preserve"> </w:t>
      </w:r>
      <w:proofErr w:type="gramStart"/>
      <w:r w:rsidRPr="00782EC2">
        <w:rPr>
          <w:rFonts w:ascii="Times New Roman" w:hAnsi="Times New Roman" w:cs="Times New Roman"/>
          <w:bCs/>
        </w:rPr>
        <w:t>a brief summary</w:t>
      </w:r>
      <w:proofErr w:type="gramEnd"/>
      <w:r w:rsidRPr="00782EC2">
        <w:rPr>
          <w:rFonts w:ascii="Times New Roman" w:hAnsi="Times New Roman" w:cs="Times New Roman"/>
          <w:bCs/>
        </w:rPr>
        <w:t xml:space="preserve"> of each summer program including the number of students who attended </w:t>
      </w:r>
      <w:r>
        <w:rPr>
          <w:rFonts w:ascii="Times New Roman" w:hAnsi="Times New Roman" w:cs="Times New Roman"/>
          <w:bCs/>
        </w:rPr>
        <w:t>and</w:t>
      </w:r>
      <w:r w:rsidRPr="00782EC2">
        <w:rPr>
          <w:rFonts w:ascii="Times New Roman" w:hAnsi="Times New Roman" w:cs="Times New Roman"/>
          <w:bCs/>
        </w:rPr>
        <w:t xml:space="preserve"> the results from feedback collected from the </w:t>
      </w:r>
      <w:r>
        <w:rPr>
          <w:rFonts w:ascii="Times New Roman" w:hAnsi="Times New Roman" w:cs="Times New Roman"/>
          <w:bCs/>
        </w:rPr>
        <w:t xml:space="preserve">participants </w:t>
      </w:r>
      <w:r w:rsidRPr="00782EC2">
        <w:rPr>
          <w:rFonts w:ascii="Times New Roman" w:hAnsi="Times New Roman" w:cs="Times New Roman"/>
          <w:bCs/>
        </w:rPr>
        <w:t xml:space="preserve">at the end of each summer study program. </w:t>
      </w:r>
    </w:p>
    <w:p w14:paraId="32AC5F90" w14:textId="77777777" w:rsidR="005B0484" w:rsidRPr="00373DAB" w:rsidRDefault="005B0484" w:rsidP="005B0484">
      <w:pPr>
        <w:pStyle w:val="Default"/>
        <w:spacing w:line="480" w:lineRule="auto"/>
        <w:ind w:firstLine="720"/>
        <w:rPr>
          <w:rFonts w:ascii="Times New Roman" w:hAnsi="Times New Roman" w:cs="Times New Roman"/>
        </w:rPr>
      </w:pPr>
      <w:r w:rsidRPr="00782EC2">
        <w:rPr>
          <w:rFonts w:ascii="Times New Roman" w:hAnsi="Times New Roman" w:cs="Times New Roman"/>
          <w:color w:val="auto"/>
        </w:rPr>
        <w:t xml:space="preserve">The first summer study program was originally planned to be a 10-day in-person event. </w:t>
      </w:r>
      <w:r w:rsidRPr="00782EC2">
        <w:rPr>
          <w:rFonts w:ascii="Times New Roman" w:hAnsi="Times New Roman" w:cs="Times New Roman"/>
        </w:rPr>
        <w:t xml:space="preserve">Due to the pandemic, the program shifted to a virtual environment composed of a 5-day online summer program and fourteen online events during the academic year. The program included seven educational sessions about neuroscience and ten sessions related to communication, college preparation, mentoring, and leadership. Twenty-one </w:t>
      </w:r>
      <w:r w:rsidRPr="00782EC2">
        <w:rPr>
          <w:rFonts w:ascii="Times New Roman" w:hAnsi="Times New Roman" w:cs="Times New Roman"/>
          <w:color w:val="auto"/>
        </w:rPr>
        <w:t>students participated in the first summer study program experience. Ten of these students went on to engage in additional year-round activities</w:t>
      </w:r>
      <w:r>
        <w:rPr>
          <w:rFonts w:ascii="Times New Roman" w:hAnsi="Times New Roman" w:cs="Times New Roman"/>
          <w:color w:val="auto"/>
        </w:rPr>
        <w:t>, along with students new to the program.</w:t>
      </w:r>
    </w:p>
    <w:p w14:paraId="19DADBCD" w14:textId="77777777" w:rsidR="005B0484" w:rsidRPr="00782EC2" w:rsidRDefault="005B0484" w:rsidP="005B0484">
      <w:pPr>
        <w:pStyle w:val="Default"/>
        <w:spacing w:line="480" w:lineRule="auto"/>
        <w:ind w:firstLine="720"/>
        <w:rPr>
          <w:rFonts w:ascii="Times New Roman" w:hAnsi="Times New Roman" w:cs="Times New Roman"/>
          <w:color w:val="auto"/>
        </w:rPr>
      </w:pPr>
      <w:r w:rsidRPr="00782EC2">
        <w:rPr>
          <w:rFonts w:ascii="Times New Roman" w:hAnsi="Times New Roman" w:cs="Times New Roman"/>
          <w:color w:val="auto"/>
        </w:rPr>
        <w:t xml:space="preserve">At the end of the first summer study program </w:t>
      </w:r>
      <w:r>
        <w:rPr>
          <w:rFonts w:ascii="Times New Roman" w:hAnsi="Times New Roman" w:cs="Times New Roman"/>
          <w:color w:val="auto"/>
        </w:rPr>
        <w:t xml:space="preserve">in 2020, </w:t>
      </w:r>
      <w:r w:rsidRPr="00782EC2">
        <w:rPr>
          <w:rFonts w:ascii="Times New Roman" w:hAnsi="Times New Roman" w:cs="Times New Roman"/>
          <w:color w:val="auto"/>
        </w:rPr>
        <w:t xml:space="preserve">students were asked to choose from a list </w:t>
      </w:r>
      <w:r>
        <w:rPr>
          <w:rFonts w:ascii="Times New Roman" w:hAnsi="Times New Roman" w:cs="Times New Roman"/>
          <w:color w:val="auto"/>
        </w:rPr>
        <w:t xml:space="preserve">of </w:t>
      </w:r>
      <w:r w:rsidRPr="00782EC2">
        <w:rPr>
          <w:rFonts w:ascii="Times New Roman" w:hAnsi="Times New Roman" w:cs="Times New Roman"/>
          <w:color w:val="auto"/>
        </w:rPr>
        <w:t xml:space="preserve">skills they felt more confident and/or increased competency in </w:t>
      </w:r>
      <w:proofErr w:type="gramStart"/>
      <w:r w:rsidRPr="00782EC2">
        <w:rPr>
          <w:rFonts w:ascii="Times New Roman" w:hAnsi="Times New Roman" w:cs="Times New Roman"/>
          <w:color w:val="auto"/>
        </w:rPr>
        <w:t>as a result of</w:t>
      </w:r>
      <w:proofErr w:type="gramEnd"/>
      <w:r w:rsidRPr="00782EC2">
        <w:rPr>
          <w:rFonts w:ascii="Times New Roman" w:hAnsi="Times New Roman" w:cs="Times New Roman"/>
          <w:color w:val="auto"/>
        </w:rPr>
        <w:t xml:space="preserve"> the camp experience. </w:t>
      </w:r>
      <w:r>
        <w:rPr>
          <w:rFonts w:ascii="Times New Roman" w:hAnsi="Times New Roman" w:cs="Times New Roman"/>
          <w:color w:val="auto"/>
        </w:rPr>
        <w:t>The r</w:t>
      </w:r>
      <w:r w:rsidRPr="00782EC2">
        <w:rPr>
          <w:rFonts w:ascii="Times New Roman" w:hAnsi="Times New Roman" w:cs="Times New Roman"/>
          <w:color w:val="auto"/>
        </w:rPr>
        <w:t>esults</w:t>
      </w:r>
      <w:r>
        <w:rPr>
          <w:rFonts w:ascii="Times New Roman" w:hAnsi="Times New Roman" w:cs="Times New Roman"/>
          <w:color w:val="auto"/>
        </w:rPr>
        <w:t xml:space="preserve"> were as follows</w:t>
      </w:r>
      <w:r w:rsidRPr="00782EC2">
        <w:rPr>
          <w:rFonts w:ascii="Times New Roman" w:hAnsi="Times New Roman" w:cs="Times New Roman"/>
          <w:color w:val="auto"/>
        </w:rPr>
        <w:t>:</w:t>
      </w:r>
    </w:p>
    <w:p w14:paraId="7C2EFBB2"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41.18% chose Initiating or participating in conversations </w:t>
      </w:r>
    </w:p>
    <w:p w14:paraId="317ACCA8"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52.94% chose Interacting with other people appropriately </w:t>
      </w:r>
    </w:p>
    <w:p w14:paraId="4F0A1F93"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52.94% chose Requesting modifications to the environment/class </w:t>
      </w:r>
    </w:p>
    <w:p w14:paraId="526A1C60"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70.59% chose Managing my time and my schedule</w:t>
      </w:r>
      <w:r w:rsidRPr="00782EC2">
        <w:rPr>
          <w:rFonts w:ascii="Times New Roman" w:hAnsi="Times New Roman" w:cs="Times New Roman"/>
          <w:color w:val="auto"/>
        </w:rPr>
        <w:tab/>
      </w:r>
    </w:p>
    <w:p w14:paraId="4BCF5DC6"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lastRenderedPageBreak/>
        <w:t xml:space="preserve">47.06% chose Focusing attention and listening to others </w:t>
      </w:r>
    </w:p>
    <w:p w14:paraId="6D4D5908"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58.82% chose Requesting disability-related accommodations </w:t>
      </w:r>
    </w:p>
    <w:p w14:paraId="4B5D7B85"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52.94% chose Using technology </w:t>
      </w:r>
    </w:p>
    <w:p w14:paraId="5C5881A5" w14:textId="77777777" w:rsidR="005B0484" w:rsidRPr="00CB4C1E"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82.35% chose Talking about my challenges</w:t>
      </w:r>
      <w:r w:rsidRPr="00782EC2">
        <w:rPr>
          <w:rFonts w:ascii="Times New Roman" w:hAnsi="Times New Roman" w:cs="Times New Roman"/>
          <w:color w:val="auto"/>
        </w:rPr>
        <w:tab/>
      </w:r>
    </w:p>
    <w:p w14:paraId="4A727919" w14:textId="77777777" w:rsidR="005B0484" w:rsidRPr="00782EC2" w:rsidRDefault="005B0484" w:rsidP="005B0484">
      <w:pPr>
        <w:spacing w:line="480" w:lineRule="auto"/>
      </w:pPr>
      <w:r w:rsidRPr="00782EC2">
        <w:t>Due to the continued pandemic, the second summer program was composed of a ten-day online program. Seventeen students participate</w:t>
      </w:r>
      <w:r>
        <w:t>d</w:t>
      </w:r>
      <w:r w:rsidRPr="00782EC2">
        <w:t xml:space="preserve">, along with five returning mentors from the first summer study. The summer program included fourteen educational sessions about neuroscience and eighteen sessions related to communication, college preparation, mentoring, social skill-building, and leadership. Seven of these students went on to engage in additional year-round activities. At the end of the second summer study program students were asked to choose from a list </w:t>
      </w:r>
      <w:r>
        <w:t xml:space="preserve">of </w:t>
      </w:r>
      <w:r w:rsidRPr="00782EC2">
        <w:t xml:space="preserve">skills all those they felt more confident and/or increased competency in </w:t>
      </w:r>
      <w:proofErr w:type="gramStart"/>
      <w:r w:rsidRPr="00782EC2">
        <w:t>as a result of</w:t>
      </w:r>
      <w:proofErr w:type="gramEnd"/>
      <w:r w:rsidRPr="00782EC2">
        <w:t xml:space="preserve"> the experience.</w:t>
      </w:r>
      <w:r>
        <w:t xml:space="preserve"> </w:t>
      </w:r>
      <w:r w:rsidRPr="00782EC2">
        <w:t>Results:</w:t>
      </w:r>
    </w:p>
    <w:p w14:paraId="249C8BFA"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38.46% chose Initiating or participating in conversations </w:t>
      </w:r>
    </w:p>
    <w:p w14:paraId="24B2ABC5"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30.77% chose Interacting with other people appropriately </w:t>
      </w:r>
    </w:p>
    <w:p w14:paraId="75747603"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61.54% chose Requesting modifications to the environment/class </w:t>
      </w:r>
    </w:p>
    <w:p w14:paraId="0FE03BF1"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76.92% chose Managing my time and my schedule</w:t>
      </w:r>
      <w:r w:rsidRPr="00782EC2">
        <w:rPr>
          <w:rFonts w:ascii="Times New Roman" w:hAnsi="Times New Roman" w:cs="Times New Roman"/>
          <w:color w:val="auto"/>
        </w:rPr>
        <w:tab/>
      </w:r>
    </w:p>
    <w:p w14:paraId="286840C7"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61.54% chose Focusing attention and listening to others </w:t>
      </w:r>
    </w:p>
    <w:p w14:paraId="4289DCEC"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69.23% chose Requesting disability-related accommodations </w:t>
      </w:r>
    </w:p>
    <w:p w14:paraId="3DED2047"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61.54% chose Using technology </w:t>
      </w:r>
    </w:p>
    <w:p w14:paraId="4CFC15C4" w14:textId="77777777" w:rsidR="005B0484" w:rsidRPr="00CB4C1E"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69.23% chose Talking about my challenges</w:t>
      </w:r>
      <w:r w:rsidRPr="00782EC2">
        <w:rPr>
          <w:rFonts w:ascii="Times New Roman" w:hAnsi="Times New Roman" w:cs="Times New Roman"/>
          <w:color w:val="auto"/>
        </w:rPr>
        <w:tab/>
      </w:r>
    </w:p>
    <w:p w14:paraId="7DDBCF19" w14:textId="77777777" w:rsidR="005B0484" w:rsidRPr="00782EC2" w:rsidRDefault="005B0484" w:rsidP="005B0484">
      <w:pPr>
        <w:spacing w:line="480" w:lineRule="auto"/>
      </w:pPr>
      <w:r w:rsidRPr="00782EC2">
        <w:t>As concerns regarding the pandemic continued to persist, the third summer study</w:t>
      </w:r>
      <w:r>
        <w:t xml:space="preserve"> </w:t>
      </w:r>
      <w:r w:rsidRPr="00782EC2">
        <w:t xml:space="preserve">program was held in a hybrid format composed of six days of online activities and four days of </w:t>
      </w:r>
      <w:r>
        <w:t xml:space="preserve">activities </w:t>
      </w:r>
      <w:r w:rsidRPr="00782EC2">
        <w:t xml:space="preserve">on campus. Eighteen students participated, along with three returning mentors from previous summer camps and activities. The summer program included twelve </w:t>
      </w:r>
      <w:r w:rsidRPr="00782EC2">
        <w:lastRenderedPageBreak/>
        <w:t>educational sessions about neuroscience and twelve sessions related to communication, college preparation, mentoring, social skill-building, and leadership. Fifteen of these students went on to engage in additional year-round activities.</w:t>
      </w:r>
      <w:r>
        <w:t xml:space="preserve"> </w:t>
      </w:r>
      <w:r w:rsidRPr="00782EC2">
        <w:t xml:space="preserve">At the end of the third summer study program students were asked to choose from a list </w:t>
      </w:r>
      <w:r>
        <w:t xml:space="preserve">of </w:t>
      </w:r>
      <w:r w:rsidRPr="00782EC2">
        <w:t xml:space="preserve">skills all those they felt more confident and/or increased competency in </w:t>
      </w:r>
      <w:proofErr w:type="gramStart"/>
      <w:r w:rsidRPr="00782EC2">
        <w:t>as a result of</w:t>
      </w:r>
      <w:proofErr w:type="gramEnd"/>
      <w:r w:rsidRPr="00782EC2">
        <w:t xml:space="preserve"> the camp experience. Results:</w:t>
      </w:r>
    </w:p>
    <w:p w14:paraId="74A4FC8C"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53.8% chose Initiating or participating in conversations </w:t>
      </w:r>
    </w:p>
    <w:p w14:paraId="78797A78"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46.2% chose Interacting with other people appropriately </w:t>
      </w:r>
    </w:p>
    <w:p w14:paraId="675C5849"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69.2% chose Requesting modifications to the environment/class </w:t>
      </w:r>
    </w:p>
    <w:p w14:paraId="5CB3CAC0"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61.5% chose Managing my time and my schedule</w:t>
      </w:r>
      <w:r w:rsidRPr="00782EC2">
        <w:rPr>
          <w:rFonts w:ascii="Times New Roman" w:hAnsi="Times New Roman" w:cs="Times New Roman"/>
          <w:color w:val="auto"/>
        </w:rPr>
        <w:tab/>
      </w:r>
    </w:p>
    <w:p w14:paraId="7876069B"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46.2% chose Focusing attention and listening to others </w:t>
      </w:r>
    </w:p>
    <w:p w14:paraId="62E866DC"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38.5% chose Requesting disability-related accommodations </w:t>
      </w:r>
    </w:p>
    <w:p w14:paraId="08BEFE2F"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69.2% chose Using technology </w:t>
      </w:r>
    </w:p>
    <w:p w14:paraId="222A1902" w14:textId="77777777" w:rsidR="005B0484" w:rsidRPr="00CB4C1E"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53.8% chose Talking about my challenges</w:t>
      </w:r>
      <w:r w:rsidRPr="00782EC2">
        <w:rPr>
          <w:rFonts w:ascii="Times New Roman" w:hAnsi="Times New Roman" w:cs="Times New Roman"/>
          <w:color w:val="auto"/>
        </w:rPr>
        <w:tab/>
      </w:r>
    </w:p>
    <w:p w14:paraId="440E2397" w14:textId="77777777" w:rsidR="005B0484" w:rsidRPr="00782EC2" w:rsidRDefault="005B0484" w:rsidP="005B0484">
      <w:pPr>
        <w:spacing w:line="480" w:lineRule="auto"/>
      </w:pPr>
      <w:r w:rsidRPr="00782EC2">
        <w:t xml:space="preserve">The fourth summer study program was composed of five days of online activities and five days of on-campus activities. Twenty-six students participated in </w:t>
      </w:r>
      <w:r>
        <w:t>this</w:t>
      </w:r>
      <w:r w:rsidRPr="00782EC2">
        <w:t xml:space="preserve"> summer study program along with one returning mentor from previous summer camps and activities. The summer program included eleven educational sessions about neuroscience and seven sessions related to communication, college preparation, mentoring, social skill-building, and leadership. Thirteen summer study program students engaged in additional year-round activities.</w:t>
      </w:r>
      <w:r>
        <w:t xml:space="preserve"> </w:t>
      </w:r>
      <w:r w:rsidRPr="00782EC2">
        <w:t xml:space="preserve">At the end of the fourth summer study program students were asked to choose from a list </w:t>
      </w:r>
      <w:r>
        <w:t xml:space="preserve">of </w:t>
      </w:r>
      <w:r w:rsidRPr="00782EC2">
        <w:t xml:space="preserve">skills all those they felt more confident and/or increased competency in </w:t>
      </w:r>
      <w:proofErr w:type="gramStart"/>
      <w:r w:rsidRPr="00782EC2">
        <w:t>as a result of</w:t>
      </w:r>
      <w:proofErr w:type="gramEnd"/>
      <w:r w:rsidRPr="00782EC2">
        <w:t xml:space="preserve"> the camp experience. Results:</w:t>
      </w:r>
    </w:p>
    <w:p w14:paraId="6D7824BB"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66.7% chose Initiating or participating in conversations </w:t>
      </w:r>
    </w:p>
    <w:p w14:paraId="352601B6"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lastRenderedPageBreak/>
        <w:t xml:space="preserve">66.7% chose Interacting with other people appropriately </w:t>
      </w:r>
    </w:p>
    <w:p w14:paraId="0E1C6CA0"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75% chose Requesting modifications to the environment/class </w:t>
      </w:r>
    </w:p>
    <w:p w14:paraId="737FF0DE"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50% chose Managing my time and my schedule</w:t>
      </w:r>
      <w:r w:rsidRPr="00782EC2">
        <w:rPr>
          <w:rFonts w:ascii="Times New Roman" w:hAnsi="Times New Roman" w:cs="Times New Roman"/>
          <w:color w:val="auto"/>
        </w:rPr>
        <w:tab/>
      </w:r>
    </w:p>
    <w:p w14:paraId="0E485E13"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41.7% chose Focusing attention and listening to others </w:t>
      </w:r>
    </w:p>
    <w:p w14:paraId="094DC843"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66.7% chose Requesting disability-related accommodations </w:t>
      </w:r>
    </w:p>
    <w:p w14:paraId="08085F27" w14:textId="77777777" w:rsidR="005B0484" w:rsidRPr="00782EC2"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 xml:space="preserve">50% chose Using technology </w:t>
      </w:r>
    </w:p>
    <w:p w14:paraId="4437001C" w14:textId="360D8BBB" w:rsidR="005B0484" w:rsidRPr="00CB4C1E" w:rsidRDefault="005B0484" w:rsidP="005B0484">
      <w:pPr>
        <w:pStyle w:val="Default"/>
        <w:numPr>
          <w:ilvl w:val="0"/>
          <w:numId w:val="5"/>
        </w:numPr>
        <w:spacing w:line="480" w:lineRule="auto"/>
        <w:rPr>
          <w:rFonts w:ascii="Times New Roman" w:hAnsi="Times New Roman" w:cs="Times New Roman"/>
          <w:color w:val="auto"/>
        </w:rPr>
      </w:pPr>
      <w:r w:rsidRPr="00782EC2">
        <w:rPr>
          <w:rFonts w:ascii="Times New Roman" w:hAnsi="Times New Roman" w:cs="Times New Roman"/>
          <w:color w:val="auto"/>
        </w:rPr>
        <w:t>41.7% chose Talking about my challenges</w:t>
      </w:r>
      <w:r w:rsidRPr="00782EC2">
        <w:rPr>
          <w:rFonts w:ascii="Times New Roman" w:hAnsi="Times New Roman" w:cs="Times New Roman"/>
          <w:color w:val="auto"/>
        </w:rPr>
        <w:tab/>
      </w:r>
      <w:r>
        <w:rPr>
          <w:rFonts w:ascii="Times New Roman" w:hAnsi="Times New Roman" w:cs="Times New Roman"/>
          <w:color w:val="auto"/>
        </w:rPr>
        <w:br/>
      </w:r>
    </w:p>
    <w:p w14:paraId="0D0BFAB5" w14:textId="77777777" w:rsidR="005B0484" w:rsidRPr="00F8704D" w:rsidRDefault="005B0484" w:rsidP="00F17DC9">
      <w:pPr>
        <w:spacing w:line="480" w:lineRule="auto"/>
        <w:ind w:firstLine="0"/>
        <w:jc w:val="center"/>
        <w:rPr>
          <w:b/>
          <w:bCs/>
        </w:rPr>
      </w:pPr>
      <w:r w:rsidRPr="00C7199E">
        <w:rPr>
          <w:b/>
          <w:bCs/>
        </w:rPr>
        <w:t>Discussion</w:t>
      </w:r>
    </w:p>
    <w:p w14:paraId="1F9D9EA3" w14:textId="77777777" w:rsidR="005B0484" w:rsidRPr="00C7199E" w:rsidRDefault="005B0484" w:rsidP="005B0484">
      <w:pPr>
        <w:spacing w:line="480" w:lineRule="auto"/>
      </w:pPr>
      <w:r>
        <w:t xml:space="preserve">Educators seeking to effectively engage neurodivergent students can benefit from the lessons learned during the </w:t>
      </w:r>
      <w:r w:rsidRPr="00E82FF1">
        <w:rPr>
          <w:i/>
          <w:iCs/>
        </w:rPr>
        <w:t>NNL</w:t>
      </w:r>
      <w:r>
        <w:t xml:space="preserve"> project implementation. Most of the lessons came about as the result of direct conversations and interactions with students, helping ensure that their voices are centered in the larger conversation about serving neurodivergent students. </w:t>
      </w:r>
      <w:r w:rsidRPr="00782EC2">
        <w:t xml:space="preserve">The data shared in this article </w:t>
      </w:r>
      <w:r>
        <w:t>are</w:t>
      </w:r>
      <w:r w:rsidRPr="00782EC2">
        <w:t xml:space="preserve"> </w:t>
      </w:r>
      <w:r>
        <w:t>limited to</w:t>
      </w:r>
      <w:r w:rsidRPr="00782EC2">
        <w:t xml:space="preserve"> a sample </w:t>
      </w:r>
      <w:r>
        <w:t>that project staff</w:t>
      </w:r>
      <w:r w:rsidRPr="00782EC2">
        <w:t xml:space="preserve"> have been collecting. With the small sample size for each cohort, it was decided that </w:t>
      </w:r>
      <w:r>
        <w:t>evaluators</w:t>
      </w:r>
      <w:r w:rsidRPr="00782EC2">
        <w:t xml:space="preserve"> would need several full years of data prior to engaging in a larger complex analysis. </w:t>
      </w:r>
      <w:r>
        <w:t xml:space="preserve">Over the next year, the project </w:t>
      </w:r>
      <w:r w:rsidRPr="00782EC2">
        <w:t>will analyz</w:t>
      </w:r>
      <w:r>
        <w:t>e</w:t>
      </w:r>
      <w:r w:rsidRPr="00782EC2">
        <w:t xml:space="preserve"> these data as well as data collected from student interviews and the repeated surveys that </w:t>
      </w:r>
      <w:r w:rsidRPr="00782EC2">
        <w:rPr>
          <w:color w:val="000000" w:themeColor="text1"/>
        </w:rPr>
        <w:t xml:space="preserve">focus on interest in neuroscience and STEM education and career, participation in </w:t>
      </w:r>
      <w:r w:rsidRPr="00782EC2">
        <w:rPr>
          <w:i/>
          <w:color w:val="000000" w:themeColor="text1"/>
        </w:rPr>
        <w:t>NNL</w:t>
      </w:r>
      <w:r w:rsidRPr="00782EC2">
        <w:rPr>
          <w:color w:val="000000" w:themeColor="text1"/>
        </w:rPr>
        <w:t xml:space="preserve"> activities, growth in skills to manage challenges typical of neurodiverse individuals, and confidence in ability to succeed in a STEM career to explore the relationships between independent variables, outcome variables, and mediating variables. </w:t>
      </w:r>
    </w:p>
    <w:p w14:paraId="7CDBA57C" w14:textId="77777777" w:rsidR="005B0484" w:rsidRDefault="005B0484" w:rsidP="005B0484">
      <w:pPr>
        <w:pStyle w:val="EndnoteText"/>
        <w:spacing w:line="480" w:lineRule="auto"/>
        <w:ind w:left="720" w:hanging="720"/>
        <w:jc w:val="center"/>
        <w:rPr>
          <w:rFonts w:ascii="Times New Roman" w:hAnsi="Times New Roman"/>
          <w:b/>
          <w:sz w:val="24"/>
          <w:szCs w:val="24"/>
        </w:rPr>
      </w:pPr>
    </w:p>
    <w:p w14:paraId="116870D3" w14:textId="77777777" w:rsidR="005B0484" w:rsidRDefault="005B0484" w:rsidP="005B0484">
      <w:pPr>
        <w:pStyle w:val="EndnoteText"/>
        <w:spacing w:line="480" w:lineRule="auto"/>
        <w:ind w:left="720" w:hanging="720"/>
        <w:jc w:val="center"/>
        <w:rPr>
          <w:rFonts w:ascii="Times New Roman" w:hAnsi="Times New Roman"/>
          <w:b/>
          <w:sz w:val="24"/>
          <w:szCs w:val="24"/>
        </w:rPr>
      </w:pPr>
    </w:p>
    <w:p w14:paraId="1194256C" w14:textId="77777777" w:rsidR="005B0484" w:rsidRDefault="005B0484" w:rsidP="00FF02E5">
      <w:pPr>
        <w:pStyle w:val="EndnoteText"/>
        <w:spacing w:line="480" w:lineRule="auto"/>
        <w:rPr>
          <w:rFonts w:ascii="Times New Roman" w:hAnsi="Times New Roman"/>
          <w:b/>
          <w:sz w:val="24"/>
          <w:szCs w:val="24"/>
        </w:rPr>
      </w:pPr>
    </w:p>
    <w:p w14:paraId="7B6C57C1" w14:textId="77777777" w:rsidR="005B0484" w:rsidRPr="00833B61" w:rsidRDefault="005B0484" w:rsidP="005B0484">
      <w:pPr>
        <w:pStyle w:val="EndnoteText"/>
        <w:spacing w:line="480" w:lineRule="auto"/>
        <w:ind w:left="720" w:hanging="720"/>
        <w:jc w:val="center"/>
        <w:rPr>
          <w:rFonts w:ascii="Times New Roman" w:hAnsi="Times New Roman"/>
          <w:b/>
          <w:sz w:val="24"/>
          <w:szCs w:val="24"/>
        </w:rPr>
      </w:pPr>
      <w:r w:rsidRPr="004D476F">
        <w:rPr>
          <w:rFonts w:ascii="Times New Roman" w:hAnsi="Times New Roman"/>
          <w:b/>
          <w:sz w:val="24"/>
          <w:szCs w:val="24"/>
        </w:rPr>
        <w:t>R</w:t>
      </w:r>
      <w:r>
        <w:rPr>
          <w:rFonts w:ascii="Times New Roman" w:hAnsi="Times New Roman"/>
          <w:b/>
          <w:sz w:val="24"/>
          <w:szCs w:val="24"/>
        </w:rPr>
        <w:t>eferences</w:t>
      </w:r>
      <w:r w:rsidRPr="004D476F">
        <w:rPr>
          <w:rFonts w:ascii="Times New Roman" w:hAnsi="Times New Roman"/>
          <w:b/>
          <w:sz w:val="24"/>
          <w:szCs w:val="24"/>
        </w:rPr>
        <w:t xml:space="preserve"> </w:t>
      </w:r>
    </w:p>
    <w:p w14:paraId="066F77CF" w14:textId="77777777" w:rsidR="005B0484" w:rsidRPr="00AB0344" w:rsidRDefault="005B0484" w:rsidP="005B0484">
      <w:pPr>
        <w:spacing w:line="480" w:lineRule="auto"/>
        <w:ind w:left="720" w:hanging="720"/>
      </w:pPr>
      <w:r w:rsidRPr="00AB0344">
        <w:t xml:space="preserve">Amabile, T.M. (2002). Motivational synergy: Toward new conceptualizations of intrinsic and extrinsic motivation in the workplace. </w:t>
      </w:r>
      <w:r w:rsidRPr="00AB0344">
        <w:rPr>
          <w:i/>
          <w:iCs/>
        </w:rPr>
        <w:t>Human Resource Management Review, 3</w:t>
      </w:r>
      <w:r w:rsidRPr="00AB0344">
        <w:t>(3), 185–201.</w:t>
      </w:r>
    </w:p>
    <w:p w14:paraId="7D53FADD" w14:textId="77777777" w:rsidR="005B0484" w:rsidRPr="00AB0344" w:rsidRDefault="005B0484" w:rsidP="005B0484">
      <w:pPr>
        <w:spacing w:line="480" w:lineRule="auto"/>
        <w:ind w:left="720" w:hanging="720"/>
      </w:pPr>
      <w:r w:rsidRPr="00AB0344">
        <w:t xml:space="preserve">American Association for the Advancement of Science (AAAS). (2001). </w:t>
      </w:r>
      <w:r w:rsidRPr="00AB0344">
        <w:rPr>
          <w:i/>
        </w:rPr>
        <w:t>In pursuit of a diverse science, technology, engineering, and mathematics workforce</w:t>
      </w:r>
      <w:r w:rsidRPr="00AB0344">
        <w:t>. Washington, DC: Author.</w:t>
      </w:r>
    </w:p>
    <w:p w14:paraId="19CBF91B" w14:textId="77777777" w:rsidR="005B0484" w:rsidRPr="00833B61" w:rsidRDefault="005B0484" w:rsidP="005B0484">
      <w:pPr>
        <w:spacing w:line="480" w:lineRule="auto"/>
        <w:ind w:left="720" w:hanging="720"/>
      </w:pPr>
      <w:proofErr w:type="spellStart"/>
      <w:r w:rsidRPr="00833B61">
        <w:rPr>
          <w:color w:val="000000"/>
        </w:rPr>
        <w:t>Arnholz</w:t>
      </w:r>
      <w:proofErr w:type="spellEnd"/>
      <w:r w:rsidRPr="00833B61">
        <w:rPr>
          <w:color w:val="000000"/>
        </w:rPr>
        <w:t xml:space="preserve">, J. (2019, February 12). </w:t>
      </w:r>
      <w:r w:rsidRPr="00833B61">
        <w:rPr>
          <w:i/>
          <w:iCs/>
          <w:color w:val="000000"/>
        </w:rPr>
        <w:t>Is hands-on learning better?</w:t>
      </w:r>
      <w:r w:rsidRPr="00833B61">
        <w:rPr>
          <w:color w:val="000000"/>
        </w:rPr>
        <w:t xml:space="preserve"> Build Your Future (BYF). https://www.byf.org/is-hands-on-learning-better/</w:t>
      </w:r>
    </w:p>
    <w:p w14:paraId="41204E36" w14:textId="77777777" w:rsidR="005B0484" w:rsidRPr="00AB0344" w:rsidRDefault="005B0484" w:rsidP="005B0484">
      <w:pPr>
        <w:spacing w:line="480" w:lineRule="auto"/>
        <w:ind w:left="720" w:hanging="720"/>
      </w:pPr>
      <w:r w:rsidRPr="00AB0344">
        <w:t xml:space="preserve">Beck, K., &amp; Andres, C. (2005). </w:t>
      </w:r>
      <w:r w:rsidRPr="00AB0344">
        <w:rPr>
          <w:i/>
        </w:rPr>
        <w:t>Extreme programming explained: Embrace change</w:t>
      </w:r>
      <w:r w:rsidRPr="00AB0344">
        <w:t xml:space="preserve"> (2nd ed., p. 29). Boston: Pearson Education, Inc.</w:t>
      </w:r>
    </w:p>
    <w:p w14:paraId="0F653973" w14:textId="77777777" w:rsidR="005B0484" w:rsidRPr="00833B61" w:rsidRDefault="005B0484" w:rsidP="005B0484">
      <w:pPr>
        <w:spacing w:line="480" w:lineRule="auto"/>
        <w:ind w:left="720" w:hanging="720"/>
        <w:rPr>
          <w:color w:val="000000"/>
        </w:rPr>
      </w:pPr>
      <w:r w:rsidRPr="00833B61">
        <w:rPr>
          <w:color w:val="000000"/>
        </w:rPr>
        <w:t xml:space="preserve">Bellman, S., &amp; </w:t>
      </w:r>
      <w:proofErr w:type="spellStart"/>
      <w:r w:rsidRPr="00833B61">
        <w:rPr>
          <w:color w:val="000000"/>
        </w:rPr>
        <w:t>Burgstahler</w:t>
      </w:r>
      <w:proofErr w:type="spellEnd"/>
      <w:r w:rsidRPr="00833B61">
        <w:rPr>
          <w:color w:val="000000"/>
        </w:rPr>
        <w:t xml:space="preserve">, S. (Eds.). (2016). </w:t>
      </w:r>
      <w:r w:rsidRPr="00833B61">
        <w:rPr>
          <w:i/>
          <w:iCs/>
          <w:color w:val="000000"/>
        </w:rPr>
        <w:t>Perspectives of STEM students with disabilities: Our journeys, communities, &amp; big ideas</w:t>
      </w:r>
      <w:r w:rsidRPr="00833B61">
        <w:rPr>
          <w:color w:val="000000"/>
        </w:rPr>
        <w:t xml:space="preserve">. DO-IT. </w:t>
      </w:r>
      <w:r w:rsidRPr="00560DD8">
        <w:rPr>
          <w:color w:val="000000"/>
        </w:rPr>
        <w:t>https://www.washington.edu/doit/perspectives-stem-students-disabilities</w:t>
      </w:r>
    </w:p>
    <w:p w14:paraId="39599D5C" w14:textId="77777777" w:rsidR="005B0484" w:rsidRPr="00833B61" w:rsidRDefault="005B0484" w:rsidP="005B0484">
      <w:pPr>
        <w:spacing w:line="480" w:lineRule="auto"/>
        <w:ind w:left="720" w:hanging="720"/>
        <w:rPr>
          <w:color w:val="3F3F3F"/>
        </w:rPr>
      </w:pPr>
      <w:r w:rsidRPr="00833B61">
        <w:rPr>
          <w:color w:val="3F3F3F"/>
        </w:rPr>
        <w:t xml:space="preserve">Bellman, S., </w:t>
      </w:r>
      <w:proofErr w:type="spellStart"/>
      <w:r w:rsidRPr="00833B61">
        <w:rPr>
          <w:color w:val="3F3F3F"/>
        </w:rPr>
        <w:t>Burgstahler</w:t>
      </w:r>
      <w:proofErr w:type="spellEnd"/>
      <w:r w:rsidRPr="00833B61">
        <w:rPr>
          <w:color w:val="3F3F3F"/>
        </w:rPr>
        <w:t xml:space="preserve">, S. &amp; </w:t>
      </w:r>
      <w:proofErr w:type="spellStart"/>
      <w:r w:rsidRPr="00833B61">
        <w:rPr>
          <w:color w:val="3F3F3F"/>
        </w:rPr>
        <w:t>Chudler</w:t>
      </w:r>
      <w:proofErr w:type="spellEnd"/>
      <w:r w:rsidRPr="00833B61">
        <w:rPr>
          <w:color w:val="3F3F3F"/>
        </w:rPr>
        <w:t>, E. (2018)</w:t>
      </w:r>
      <w:r w:rsidRPr="00833B61">
        <w:rPr>
          <w:color w:val="000000"/>
        </w:rPr>
        <w:t xml:space="preserve"> </w:t>
      </w:r>
      <w:r w:rsidRPr="00833B61">
        <w:rPr>
          <w:color w:val="3F3F3F"/>
        </w:rPr>
        <w:t xml:space="preserve">Broadening Participation by Including More Individuals with Disabilities in STEM: Promising Practices from an Engineering Research Center, </w:t>
      </w:r>
      <w:r w:rsidRPr="00833B61">
        <w:rPr>
          <w:i/>
          <w:iCs/>
          <w:color w:val="3F3F3F"/>
        </w:rPr>
        <w:t>American Behavioral Scientist, 62</w:t>
      </w:r>
      <w:r w:rsidRPr="00833B61">
        <w:rPr>
          <w:color w:val="3F3F3F"/>
        </w:rPr>
        <w:t>(5), 645-656.</w:t>
      </w:r>
    </w:p>
    <w:p w14:paraId="3DF6AF2F" w14:textId="77777777" w:rsidR="005B0484" w:rsidRDefault="005B0484" w:rsidP="005B0484">
      <w:pPr>
        <w:spacing w:line="480" w:lineRule="auto"/>
        <w:ind w:left="720" w:hanging="720"/>
        <w:rPr>
          <w:color w:val="3F3F3F"/>
        </w:rPr>
      </w:pPr>
      <w:r w:rsidRPr="00833B61">
        <w:rPr>
          <w:color w:val="3F3F3F"/>
        </w:rPr>
        <w:t xml:space="preserve">Bellman, S., </w:t>
      </w:r>
      <w:proofErr w:type="spellStart"/>
      <w:r w:rsidRPr="00833B61">
        <w:rPr>
          <w:color w:val="3F3F3F"/>
        </w:rPr>
        <w:t>Burgstahler</w:t>
      </w:r>
      <w:proofErr w:type="spellEnd"/>
      <w:r w:rsidRPr="00833B61">
        <w:rPr>
          <w:color w:val="3F3F3F"/>
        </w:rPr>
        <w:t xml:space="preserve">, S., </w:t>
      </w:r>
      <w:proofErr w:type="spellStart"/>
      <w:r w:rsidRPr="00833B61">
        <w:rPr>
          <w:color w:val="3F3F3F"/>
        </w:rPr>
        <w:t>Hinke</w:t>
      </w:r>
      <w:proofErr w:type="spellEnd"/>
      <w:r w:rsidRPr="00833B61">
        <w:rPr>
          <w:color w:val="3F3F3F"/>
        </w:rPr>
        <w:t xml:space="preserve">, P. (2015) Academic coaching outcomes for students with disabilities pursuing science, technology, engineering, and mathematics (STEM). </w:t>
      </w:r>
      <w:r w:rsidRPr="00833B61">
        <w:rPr>
          <w:i/>
          <w:iCs/>
          <w:color w:val="3F3F3F"/>
        </w:rPr>
        <w:t xml:space="preserve">Journal of Postsecondary Education and </w:t>
      </w:r>
      <w:r w:rsidRPr="00515828">
        <w:rPr>
          <w:i/>
          <w:iCs/>
          <w:color w:val="3F3F3F"/>
        </w:rPr>
        <w:t>Disability, 28</w:t>
      </w:r>
      <w:r>
        <w:rPr>
          <w:color w:val="3F3F3F"/>
        </w:rPr>
        <w:t>(</w:t>
      </w:r>
      <w:r w:rsidRPr="00833B61">
        <w:rPr>
          <w:color w:val="3F3F3F"/>
        </w:rPr>
        <w:t>1</w:t>
      </w:r>
      <w:r>
        <w:rPr>
          <w:color w:val="3F3F3F"/>
        </w:rPr>
        <w:t>)</w:t>
      </w:r>
      <w:r w:rsidRPr="00833B61">
        <w:rPr>
          <w:color w:val="3F3F3F"/>
        </w:rPr>
        <w:t>, 101-106.</w:t>
      </w:r>
    </w:p>
    <w:p w14:paraId="3BAB72F8" w14:textId="77777777" w:rsidR="005B0484" w:rsidRPr="00AB0344" w:rsidRDefault="005B0484" w:rsidP="005B0484">
      <w:pPr>
        <w:spacing w:line="480" w:lineRule="auto"/>
        <w:ind w:left="720" w:hanging="720"/>
      </w:pPr>
      <w:proofErr w:type="spellStart"/>
      <w:r w:rsidRPr="00AB0344">
        <w:t>Burgstahler</w:t>
      </w:r>
      <w:proofErr w:type="spellEnd"/>
      <w:r w:rsidRPr="00AB0344">
        <w:t xml:space="preserve">, S. (Ed.). (2015). </w:t>
      </w:r>
      <w:r w:rsidRPr="00AB0344">
        <w:rPr>
          <w:i/>
        </w:rPr>
        <w:t xml:space="preserve">Universal design in higher education: From principles to </w:t>
      </w:r>
      <w:r w:rsidRPr="00AB0344">
        <w:rPr>
          <w:i/>
        </w:rPr>
        <w:lastRenderedPageBreak/>
        <w:t>practice (2nd ed.)</w:t>
      </w:r>
      <w:r w:rsidRPr="00AB0344">
        <w:t>. Boston:</w:t>
      </w:r>
      <w:r w:rsidRPr="00AB0344">
        <w:rPr>
          <w:i/>
        </w:rPr>
        <w:t xml:space="preserve"> </w:t>
      </w:r>
      <w:r w:rsidRPr="00AB0344">
        <w:t>Harvard Education Press.</w:t>
      </w:r>
    </w:p>
    <w:p w14:paraId="3B666637" w14:textId="77777777" w:rsidR="005B0484" w:rsidRPr="00AB0344" w:rsidRDefault="005B0484" w:rsidP="005B0484">
      <w:pPr>
        <w:spacing w:line="480" w:lineRule="auto"/>
        <w:ind w:left="720" w:hanging="720"/>
      </w:pPr>
      <w:r w:rsidRPr="00AB0344">
        <w:t>Center for Universal Design. (1997). Universal design. https://design.ncsu.edu/research/center-for-universal-design/</w:t>
      </w:r>
    </w:p>
    <w:p w14:paraId="626C28D1" w14:textId="77777777" w:rsidR="005B0484" w:rsidRPr="00833B61" w:rsidRDefault="005B0484" w:rsidP="005B0484">
      <w:pPr>
        <w:spacing w:line="480" w:lineRule="auto"/>
        <w:ind w:left="720" w:hanging="720"/>
      </w:pPr>
      <w:r w:rsidRPr="00833B61">
        <w:t xml:space="preserve">Center on Disability Studies. (2024). 39th Annual Pacific Rim International Conference on Disability and Diversity. </w:t>
      </w:r>
      <w:r w:rsidRPr="00560DD8">
        <w:t>https://pacrim.coe.hawaii.edu/</w:t>
      </w:r>
    </w:p>
    <w:p w14:paraId="6A66B5C9" w14:textId="77777777" w:rsidR="005B0484" w:rsidRPr="00833B61" w:rsidRDefault="005B0484" w:rsidP="005B0484">
      <w:pPr>
        <w:spacing w:line="480" w:lineRule="auto"/>
        <w:ind w:left="720" w:hanging="720"/>
      </w:pPr>
      <w:r w:rsidRPr="00833B61">
        <w:t xml:space="preserve">Cohoon, J. M. (2007). </w:t>
      </w:r>
      <w:r w:rsidRPr="00833B61">
        <w:rPr>
          <w:i/>
          <w:iCs/>
        </w:rPr>
        <w:t>The state of research on girls and IT.</w:t>
      </w:r>
      <w:r w:rsidRPr="00833B61">
        <w:t xml:space="preserve"> Boulder, CO: National Center for Women and Information Technology (NCWIT). https://www.ncwit.org/sites/default/files/resources/girlsit_research_summary.pdf</w:t>
      </w:r>
    </w:p>
    <w:p w14:paraId="0158D463" w14:textId="77777777" w:rsidR="005B0484" w:rsidRPr="00AB0344" w:rsidRDefault="005B0484" w:rsidP="005B0484">
      <w:pPr>
        <w:spacing w:line="480" w:lineRule="auto"/>
        <w:ind w:left="720" w:hanging="720"/>
      </w:pPr>
      <w:r w:rsidRPr="00AB0344">
        <w:t xml:space="preserve">Committee on Equal Opportunities in Science and Engineering (CEOSE) (2011). Broadening participation in America’s science and engineering workforce. </w:t>
      </w:r>
      <w:r w:rsidRPr="00AB0344">
        <w:rPr>
          <w:i/>
        </w:rPr>
        <w:t>The 2009–2010 Biennial Reports to Congress</w:t>
      </w:r>
      <w:r w:rsidRPr="00AB0344">
        <w:t>. NSF: Author.</w:t>
      </w:r>
    </w:p>
    <w:p w14:paraId="47D890D0" w14:textId="77777777" w:rsidR="005B0484" w:rsidRPr="00833B61" w:rsidRDefault="005B0484" w:rsidP="005B0484">
      <w:pPr>
        <w:spacing w:line="480" w:lineRule="auto"/>
        <w:ind w:left="720" w:hanging="720"/>
      </w:pPr>
      <w:r w:rsidRPr="00AB0344">
        <w:t xml:space="preserve">Congressional Commission on the Advancement of Women and Minorities in Science, Engineering, and Technology Development (2000, September). </w:t>
      </w:r>
      <w:r w:rsidRPr="00AB0344">
        <w:rPr>
          <w:i/>
        </w:rPr>
        <w:t>Land of plenty: Diversity as America's competitive edge in science, engineering and technology</w:t>
      </w:r>
      <w:r w:rsidRPr="00AB0344">
        <w:t>. Washington, DC: Author.</w:t>
      </w:r>
    </w:p>
    <w:p w14:paraId="5A3853E7" w14:textId="77777777" w:rsidR="005B0484" w:rsidRPr="00AB0344" w:rsidRDefault="005B0484" w:rsidP="005B0484">
      <w:pPr>
        <w:spacing w:line="480" w:lineRule="auto"/>
        <w:ind w:left="720" w:hanging="720"/>
      </w:pPr>
      <w:r w:rsidRPr="00AB0344">
        <w:t xml:space="preserve">Congressional Commission on the Advancement of Women and Minorities in Science, Engineering, and Technology Development (2000, September). </w:t>
      </w:r>
      <w:r w:rsidRPr="00AB0344">
        <w:rPr>
          <w:i/>
        </w:rPr>
        <w:t>Land of plenty: Diversity as America's competitive edge in science, engineering and technology</w:t>
      </w:r>
      <w:r w:rsidRPr="00AB0344">
        <w:t>. Washington, DC: Author. pp. 3.</w:t>
      </w:r>
    </w:p>
    <w:p w14:paraId="3DF7B024" w14:textId="77777777" w:rsidR="005B0484" w:rsidRPr="00AB0344" w:rsidRDefault="005B0484" w:rsidP="005B0484">
      <w:pPr>
        <w:spacing w:line="480" w:lineRule="auto"/>
        <w:ind w:left="720" w:hanging="720"/>
      </w:pPr>
      <w:r w:rsidRPr="00AB0344">
        <w:t xml:space="preserve">DePoy, E., &amp; Gibson, S. (2008a). Disability studies: Origins, current conflict, and resolution. </w:t>
      </w:r>
      <w:r w:rsidRPr="00AB0344">
        <w:rPr>
          <w:i/>
        </w:rPr>
        <w:t>Review of Disability Studies</w:t>
      </w:r>
      <w:r w:rsidRPr="00AB0344">
        <w:t xml:space="preserve">, </w:t>
      </w:r>
      <w:r w:rsidRPr="00AB0344">
        <w:rPr>
          <w:i/>
        </w:rPr>
        <w:t>4</w:t>
      </w:r>
      <w:r w:rsidRPr="00AB0344">
        <w:t>(4), 33–40.</w:t>
      </w:r>
    </w:p>
    <w:p w14:paraId="622D2C25" w14:textId="77777777" w:rsidR="005B0484" w:rsidRPr="00AB0344" w:rsidRDefault="005B0484" w:rsidP="005B0484">
      <w:pPr>
        <w:spacing w:line="480" w:lineRule="auto"/>
        <w:ind w:left="720" w:hanging="720"/>
      </w:pPr>
      <w:r w:rsidRPr="00AB0344">
        <w:t xml:space="preserve">DePoy, E., &amp; Gibson, S. (2008b). Healing the disjuncture: Social work disability practice. In </w:t>
      </w:r>
      <w:r w:rsidRPr="00AB0344">
        <w:lastRenderedPageBreak/>
        <w:t xml:space="preserve">K. M. Sowers &amp; C. N. </w:t>
      </w:r>
      <w:proofErr w:type="spellStart"/>
      <w:r w:rsidRPr="00AB0344">
        <w:t>Dulmus</w:t>
      </w:r>
      <w:proofErr w:type="spellEnd"/>
      <w:r w:rsidRPr="00AB0344">
        <w:t xml:space="preserve"> (Series Eds.), &amp; B. W. White (Vol. Ed.), </w:t>
      </w:r>
      <w:r w:rsidRPr="00AB0344">
        <w:rPr>
          <w:i/>
        </w:rPr>
        <w:t>Comprehensive handbook of social work and social welfare: Volume 1, the profession of social work</w:t>
      </w:r>
      <w:r w:rsidRPr="00AB0344">
        <w:t xml:space="preserve"> (pp. 267–282). Hoboken, NJ: Wiley.</w:t>
      </w:r>
    </w:p>
    <w:p w14:paraId="7A0363D3" w14:textId="77777777" w:rsidR="005B0484" w:rsidRPr="00AB0344" w:rsidRDefault="005B0484" w:rsidP="005B0484">
      <w:pPr>
        <w:spacing w:line="480" w:lineRule="auto"/>
        <w:ind w:left="720" w:hanging="720"/>
      </w:pPr>
      <w:proofErr w:type="spellStart"/>
      <w:r w:rsidRPr="00AB0344">
        <w:t>Dreifus</w:t>
      </w:r>
      <w:proofErr w:type="spellEnd"/>
      <w:r w:rsidRPr="00AB0344">
        <w:t xml:space="preserve">, C. (2009, October 29). On winning a Nobel Prize in Science. </w:t>
      </w:r>
      <w:r w:rsidRPr="00AB0344">
        <w:rPr>
          <w:i/>
        </w:rPr>
        <w:t>New York Times</w:t>
      </w:r>
      <w:r w:rsidRPr="00AB0344">
        <w:t>. Retrieved from http://www.nytimes.com/2009/10/13/science/13conv.html</w:t>
      </w:r>
    </w:p>
    <w:p w14:paraId="6F19946E" w14:textId="77777777" w:rsidR="005B0484" w:rsidRPr="00AB0344" w:rsidRDefault="005B0484" w:rsidP="005B0484">
      <w:pPr>
        <w:spacing w:line="480" w:lineRule="auto"/>
        <w:ind w:left="720" w:hanging="720"/>
      </w:pPr>
      <w:r w:rsidRPr="00AB0344">
        <w:t>DXC Technology. (n.d.). DXC Dandelion Program-- An award-winning program connecting neurodiverse people with meaningful employment, and helping workplaces fill IT skills gaps. https://dxc.com/au/en/about-us/social-impact-practice/dxc-dandelion-program</w:t>
      </w:r>
    </w:p>
    <w:p w14:paraId="436026B0" w14:textId="77777777" w:rsidR="005B0484" w:rsidRPr="00833B61" w:rsidRDefault="005B0484" w:rsidP="005B0484">
      <w:pPr>
        <w:spacing w:line="480" w:lineRule="auto"/>
        <w:ind w:left="720" w:hanging="720"/>
        <w:rPr>
          <w:color w:val="000000"/>
        </w:rPr>
      </w:pPr>
      <w:r w:rsidRPr="00833B61">
        <w:rPr>
          <w:color w:val="000000"/>
        </w:rPr>
        <w:t>Exceptional Individuals. (n.d.) Assistive technology advice. https://exceptionalindividuals.com/candidates/assistive-technology-advice/</w:t>
      </w:r>
    </w:p>
    <w:p w14:paraId="5AB908F9" w14:textId="77777777" w:rsidR="005B0484" w:rsidRPr="00AB0344" w:rsidRDefault="005B0484" w:rsidP="005B0484">
      <w:pPr>
        <w:spacing w:line="480" w:lineRule="auto"/>
        <w:ind w:left="720" w:hanging="720"/>
      </w:pPr>
      <w:r w:rsidRPr="00AB0344">
        <w:t xml:space="preserve">Gabel, S., &amp; Peters, S. (2010). Presage of a paradigm shift: Beyond the social model of disability toward resistance theories of disability. </w:t>
      </w:r>
      <w:r w:rsidRPr="00AB0344">
        <w:rPr>
          <w:i/>
        </w:rPr>
        <w:t>Disability &amp; Society</w:t>
      </w:r>
      <w:r w:rsidRPr="00AB0344">
        <w:t>,</w:t>
      </w:r>
      <w:r w:rsidRPr="00AB0344">
        <w:rPr>
          <w:i/>
        </w:rPr>
        <w:t xml:space="preserve"> 19</w:t>
      </w:r>
      <w:r w:rsidRPr="00AB0344">
        <w:t>(6), 585–600.</w:t>
      </w:r>
    </w:p>
    <w:p w14:paraId="079A2CE6" w14:textId="77777777" w:rsidR="005B0484" w:rsidRPr="00AB0344" w:rsidRDefault="005B0484" w:rsidP="005B0484">
      <w:pPr>
        <w:spacing w:line="480" w:lineRule="auto"/>
        <w:ind w:left="720" w:hanging="720"/>
      </w:pPr>
      <w:r w:rsidRPr="00AB0344">
        <w:t xml:space="preserve">Gupta, U., &amp; </w:t>
      </w:r>
      <w:proofErr w:type="spellStart"/>
      <w:r w:rsidRPr="00AB0344">
        <w:t>Houtz</w:t>
      </w:r>
      <w:proofErr w:type="spellEnd"/>
      <w:r w:rsidRPr="00AB0344">
        <w:t xml:space="preserve">, L. (2000). High school students’ perceptions of information technology skills and careers. </w:t>
      </w:r>
      <w:r w:rsidRPr="00AB0344">
        <w:rPr>
          <w:i/>
          <w:iCs/>
        </w:rPr>
        <w:t>Journal of Industrial Technology</w:t>
      </w:r>
      <w:r w:rsidRPr="00AB0344">
        <w:t xml:space="preserve">, </w:t>
      </w:r>
      <w:r w:rsidRPr="00AB0344">
        <w:rPr>
          <w:i/>
          <w:iCs/>
        </w:rPr>
        <w:t>16</w:t>
      </w:r>
      <w:r w:rsidRPr="00AB0344">
        <w:t>(4).</w:t>
      </w:r>
    </w:p>
    <w:p w14:paraId="40B9315F" w14:textId="77777777" w:rsidR="005B0484" w:rsidRPr="00AB0344" w:rsidRDefault="005B0484" w:rsidP="005B0484">
      <w:pPr>
        <w:spacing w:line="480" w:lineRule="auto"/>
        <w:ind w:left="720" w:hanging="720"/>
      </w:pPr>
      <w:r w:rsidRPr="00AB0344">
        <w:t xml:space="preserve">Hazzan, O. &amp; Dubinsky, Y. (2006). Can diversity in global software development be enhanced by agile software development? In </w:t>
      </w:r>
      <w:r w:rsidRPr="00AB0344">
        <w:rPr>
          <w:i/>
        </w:rPr>
        <w:t>Proceedings of ICSE (International Conference of Software Engineering).</w:t>
      </w:r>
      <w:r w:rsidRPr="00AB0344">
        <w:t xml:space="preserve"> Paper presented at the Global Software Development for the Practitioner workshop, Shanghai, China (pp. 58–61).</w:t>
      </w:r>
    </w:p>
    <w:p w14:paraId="1BA7DDBC" w14:textId="77777777" w:rsidR="005B0484" w:rsidRPr="00AB0344" w:rsidRDefault="005B0484" w:rsidP="005B0484">
      <w:pPr>
        <w:spacing w:line="480" w:lineRule="auto"/>
        <w:ind w:left="720" w:hanging="720"/>
      </w:pPr>
      <w:proofErr w:type="spellStart"/>
      <w:r w:rsidRPr="00AB0344">
        <w:t>Hecher</w:t>
      </w:r>
      <w:proofErr w:type="spellEnd"/>
      <w:r w:rsidRPr="00AB0344">
        <w:t xml:space="preserve">, D. E. (2005). Employment outlook: 2004–14, occupational employment projections to 2014. </w:t>
      </w:r>
      <w:r w:rsidRPr="00AB0344">
        <w:rPr>
          <w:i/>
        </w:rPr>
        <w:t>Monthly Labor Review</w:t>
      </w:r>
      <w:r w:rsidRPr="00AB0344">
        <w:t>. Washington, D.C.: Bureau of Labor Statistics.</w:t>
      </w:r>
    </w:p>
    <w:p w14:paraId="11F22F12" w14:textId="77777777" w:rsidR="005B0484" w:rsidRPr="00AB0344" w:rsidRDefault="005B0484" w:rsidP="005B0484">
      <w:pPr>
        <w:spacing w:line="480" w:lineRule="auto"/>
        <w:ind w:left="720" w:hanging="720"/>
      </w:pPr>
      <w:proofErr w:type="spellStart"/>
      <w:r w:rsidRPr="00AB0344">
        <w:lastRenderedPageBreak/>
        <w:t>Helft</w:t>
      </w:r>
      <w:proofErr w:type="spellEnd"/>
      <w:r w:rsidRPr="00AB0344">
        <w:t xml:space="preserve">, M. (2009, January 3). For the blind, technology does what a guide dog can’t. </w:t>
      </w:r>
      <w:r w:rsidRPr="00AB0344">
        <w:rPr>
          <w:i/>
        </w:rPr>
        <w:t>New York Times</w:t>
      </w:r>
      <w:r w:rsidRPr="00AB0344">
        <w:t>. Retrieved from http://www.nytimes.com/2009/01/04/business/04blind.html</w:t>
      </w:r>
    </w:p>
    <w:p w14:paraId="13047ABE" w14:textId="77777777" w:rsidR="005B0484" w:rsidRPr="00833B61" w:rsidRDefault="005B0484" w:rsidP="005B0484">
      <w:pPr>
        <w:spacing w:line="480" w:lineRule="auto"/>
        <w:ind w:left="720" w:hanging="720"/>
        <w:rPr>
          <w:color w:val="000000"/>
        </w:rPr>
      </w:pPr>
      <w:r w:rsidRPr="00833B61">
        <w:rPr>
          <w:color w:val="000000"/>
        </w:rPr>
        <w:t xml:space="preserve">Indiana University Bloomington. (n.d.) </w:t>
      </w:r>
      <w:r w:rsidRPr="00833B61">
        <w:rPr>
          <w:i/>
          <w:iCs/>
          <w:color w:val="000000"/>
        </w:rPr>
        <w:t>Transparency in learning and teaching (TILT)</w:t>
      </w:r>
      <w:r w:rsidRPr="00833B61">
        <w:rPr>
          <w:color w:val="000000"/>
        </w:rPr>
        <w:t>. (n.d.). Center for Innovative Teaching and Learning. https://citl.indiana.edu/teaching-resources/diversity-inclusion/tilt/index.html</w:t>
      </w:r>
    </w:p>
    <w:p w14:paraId="2DE57D27" w14:textId="77777777" w:rsidR="005B0484" w:rsidRPr="00AB0344" w:rsidRDefault="005B0484" w:rsidP="005B0484">
      <w:pPr>
        <w:spacing w:line="480" w:lineRule="auto"/>
        <w:ind w:left="720" w:hanging="720"/>
      </w:pPr>
      <w:r w:rsidRPr="00AB0344">
        <w:t xml:space="preserve">Jacobs, J. E., &amp; Simpkins, S. D. (Eds.) (2006). </w:t>
      </w:r>
      <w:r w:rsidRPr="00AB0344">
        <w:rPr>
          <w:i/>
          <w:iCs/>
        </w:rPr>
        <w:t>Leaks in the pipeline to math, science, and technology careers: New directions for child development, No. 110</w:t>
      </w:r>
      <w:r w:rsidRPr="00AB0344">
        <w:t>. San Francisco: Jossey-Bass.</w:t>
      </w:r>
    </w:p>
    <w:p w14:paraId="57FF0880" w14:textId="77777777" w:rsidR="005B0484" w:rsidRPr="00AB0344" w:rsidRDefault="005B0484" w:rsidP="005B0484">
      <w:pPr>
        <w:spacing w:line="480" w:lineRule="auto"/>
        <w:ind w:left="720" w:hanging="720"/>
      </w:pPr>
      <w:r w:rsidRPr="00AB0344">
        <w:t xml:space="preserve">Kerry, John F. (2013). Testimony before the senate foreign relations committee on the </w:t>
      </w:r>
      <w:proofErr w:type="gramStart"/>
      <w:r w:rsidRPr="00AB0344">
        <w:t>disabilities</w:t>
      </w:r>
      <w:proofErr w:type="gramEnd"/>
      <w:r w:rsidRPr="00AB0344">
        <w:t xml:space="preserve"> treaty. www.foreign.senate.gov/imo/media/doc/Kerry_Testimony.pdf</w:t>
      </w:r>
    </w:p>
    <w:p w14:paraId="6DF5ED57" w14:textId="77777777" w:rsidR="005B0484" w:rsidRPr="00AB0344" w:rsidRDefault="005B0484" w:rsidP="005B0484">
      <w:pPr>
        <w:spacing w:line="480" w:lineRule="auto"/>
        <w:ind w:left="720" w:hanging="720"/>
      </w:pPr>
      <w:r w:rsidRPr="00AB0344">
        <w:t xml:space="preserve">Kiernan, V. (2000). Government challenged to make high-tech careers more attractive. </w:t>
      </w:r>
      <w:r w:rsidRPr="00AB0344">
        <w:rPr>
          <w:i/>
          <w:iCs/>
        </w:rPr>
        <w:t>Laser Focus World</w:t>
      </w:r>
      <w:r w:rsidRPr="00AB0344">
        <w:t>. http://www.laserfocusworld.com/display_article/75436/12/none/none/Dept/Government-challenged-to-make-high-tech-careers-more-attractiv</w:t>
      </w:r>
    </w:p>
    <w:p w14:paraId="0E9F1074" w14:textId="77777777" w:rsidR="005B0484" w:rsidRPr="00AB0344" w:rsidRDefault="005B0484" w:rsidP="005B0484">
      <w:pPr>
        <w:spacing w:line="480" w:lineRule="auto"/>
        <w:ind w:left="720" w:hanging="720"/>
      </w:pPr>
      <w:r w:rsidRPr="00AB0344">
        <w:t xml:space="preserve">Ladner, R. (2016). Broadening participation "for all" in "Computer Science </w:t>
      </w:r>
      <w:proofErr w:type="gramStart"/>
      <w:r w:rsidRPr="00AB0344">
        <w:t>For</w:t>
      </w:r>
      <w:proofErr w:type="gramEnd"/>
      <w:r w:rsidRPr="00AB0344">
        <w:t xml:space="preserve"> All." </w:t>
      </w:r>
      <w:r w:rsidRPr="00AB0344">
        <w:rPr>
          <w:i/>
        </w:rPr>
        <w:t>Communications of the ACM, 59</w:t>
      </w:r>
      <w:r w:rsidRPr="00AB0344">
        <w:t>(9).</w:t>
      </w:r>
    </w:p>
    <w:p w14:paraId="0746F08F" w14:textId="77777777" w:rsidR="005B0484" w:rsidRPr="00AB0344" w:rsidRDefault="005B0484" w:rsidP="005B0484">
      <w:pPr>
        <w:spacing w:line="480" w:lineRule="auto"/>
        <w:ind w:left="720" w:hanging="720"/>
      </w:pPr>
      <w:r w:rsidRPr="00AB0344">
        <w:t xml:space="preserve">Loewen, G., &amp; Pollard, W. (2010). The social justice perspective. </w:t>
      </w:r>
      <w:r w:rsidRPr="00AB0344">
        <w:rPr>
          <w:i/>
        </w:rPr>
        <w:t>Journal of Postsecondary Education and Disability</w:t>
      </w:r>
      <w:r w:rsidRPr="00AB0344">
        <w:t>,</w:t>
      </w:r>
      <w:r w:rsidRPr="00AB0344">
        <w:rPr>
          <w:i/>
        </w:rPr>
        <w:t xml:space="preserve"> 23</w:t>
      </w:r>
      <w:r w:rsidRPr="00AB0344">
        <w:t>(1), 5–18</w:t>
      </w:r>
    </w:p>
    <w:p w14:paraId="47875D30" w14:textId="77777777" w:rsidR="005B0484" w:rsidRPr="00AB0344" w:rsidRDefault="005B0484" w:rsidP="005B0484">
      <w:pPr>
        <w:spacing w:line="480" w:lineRule="auto"/>
        <w:ind w:left="720" w:hanging="720"/>
      </w:pPr>
      <w:r w:rsidRPr="00AB0344">
        <w:t xml:space="preserve">Loewen, G., &amp; Pollard, W. (2010). The social justice perspective. </w:t>
      </w:r>
      <w:r w:rsidRPr="00AB0344">
        <w:rPr>
          <w:i/>
        </w:rPr>
        <w:t>Journal of Postsecondary Education and Disability</w:t>
      </w:r>
      <w:r w:rsidRPr="00AB0344">
        <w:t>,</w:t>
      </w:r>
      <w:r w:rsidRPr="00AB0344">
        <w:rPr>
          <w:i/>
        </w:rPr>
        <w:t xml:space="preserve"> 23</w:t>
      </w:r>
      <w:r w:rsidRPr="00AB0344">
        <w:t>(1), 5–18.</w:t>
      </w:r>
    </w:p>
    <w:p w14:paraId="2F0EDFF7" w14:textId="77777777" w:rsidR="005B0484" w:rsidRPr="00AB0344" w:rsidRDefault="005B0484" w:rsidP="005B0484">
      <w:pPr>
        <w:spacing w:line="480" w:lineRule="auto"/>
        <w:ind w:left="720" w:hanging="720"/>
      </w:pPr>
      <w:r w:rsidRPr="00AB0344">
        <w:t>Microsoft. (n.d.). Inclusive hiring for people with disabilities. https://www.microsoft.com/en-us/diversity/inside-microsoft/cross-disability/hiring.aspx</w:t>
      </w:r>
    </w:p>
    <w:p w14:paraId="68B2E54A" w14:textId="77777777" w:rsidR="005B0484" w:rsidRPr="00AB0344" w:rsidRDefault="005B0484" w:rsidP="005B0484">
      <w:pPr>
        <w:spacing w:line="480" w:lineRule="auto"/>
        <w:ind w:left="720" w:hanging="720"/>
      </w:pPr>
      <w:r w:rsidRPr="00AB0344">
        <w:lastRenderedPageBreak/>
        <w:t xml:space="preserve">Misner, C., Thorne, K. S., &amp; Wheeler, J. A. (1995). </w:t>
      </w:r>
      <w:r w:rsidRPr="00AB0344">
        <w:rPr>
          <w:i/>
        </w:rPr>
        <w:t>Stephen Hawking A biography</w:t>
      </w:r>
      <w:r w:rsidRPr="00AB0344">
        <w:t>. San Francisco: Greenwood Press.</w:t>
      </w:r>
    </w:p>
    <w:p w14:paraId="32132A91" w14:textId="77777777" w:rsidR="005B0484" w:rsidRPr="00AB0344" w:rsidRDefault="005B0484" w:rsidP="005B0484">
      <w:pPr>
        <w:spacing w:line="480" w:lineRule="auto"/>
        <w:ind w:left="720" w:hanging="720"/>
      </w:pPr>
      <w:r w:rsidRPr="00AB0344">
        <w:t xml:space="preserve">Moriarty, M.A. (2007). Inclusive pedagogy: Teaching methodologies to reach diverse learners in science instruction. </w:t>
      </w:r>
      <w:r w:rsidRPr="00AB0344">
        <w:rPr>
          <w:i/>
        </w:rPr>
        <w:t>Equity and Excellence in Education</w:t>
      </w:r>
      <w:r w:rsidRPr="00AB0344">
        <w:t>,</w:t>
      </w:r>
      <w:r w:rsidRPr="00AB0344">
        <w:rPr>
          <w:i/>
        </w:rPr>
        <w:t xml:space="preserve"> 40</w:t>
      </w:r>
      <w:r w:rsidRPr="00AB0344">
        <w:t>(3), 252–265.</w:t>
      </w:r>
    </w:p>
    <w:p w14:paraId="2454B89F" w14:textId="77777777" w:rsidR="005B0484" w:rsidRPr="00833B61" w:rsidRDefault="005B0484" w:rsidP="005B0484">
      <w:pPr>
        <w:spacing w:line="480" w:lineRule="auto"/>
        <w:ind w:left="720" w:hanging="720"/>
        <w:rPr>
          <w:color w:val="000000"/>
        </w:rPr>
      </w:pPr>
      <w:r w:rsidRPr="00833B61">
        <w:rPr>
          <w:color w:val="000000"/>
        </w:rPr>
        <w:t xml:space="preserve">Museum, Arts, &amp; Culture Access Consortium (MAC). (n.d.) </w:t>
      </w:r>
      <w:r w:rsidRPr="00833B61">
        <w:rPr>
          <w:i/>
          <w:iCs/>
          <w:color w:val="000000"/>
        </w:rPr>
        <w:t>Examples of social narratives for visitors</w:t>
      </w:r>
      <w:r w:rsidRPr="00833B61">
        <w:rPr>
          <w:color w:val="000000"/>
        </w:rPr>
        <w:t xml:space="preserve">. </w:t>
      </w:r>
      <w:r w:rsidRPr="00560DD8">
        <w:rPr>
          <w:color w:val="000000"/>
        </w:rPr>
        <w:t>https://macaccess.org/rescources/examples-of-social-narratives-for-visitors/</w:t>
      </w:r>
    </w:p>
    <w:p w14:paraId="613B6B39" w14:textId="77777777" w:rsidR="005B0484" w:rsidRPr="00AB0344" w:rsidRDefault="005B0484" w:rsidP="005B0484">
      <w:pPr>
        <w:spacing w:line="480" w:lineRule="auto"/>
        <w:ind w:left="720" w:hanging="720"/>
      </w:pPr>
      <w:r w:rsidRPr="00AB0344">
        <w:t>National Council on Disability and Social Security Administration. (2000). Transition and post-school outcomes for youth with disabilities: Closing the gaps to post-secondary education and employment. Washington, DC: Author.</w:t>
      </w:r>
    </w:p>
    <w:p w14:paraId="3F8D6424" w14:textId="77777777" w:rsidR="005B0484" w:rsidRDefault="005B0484" w:rsidP="005B0484">
      <w:pPr>
        <w:spacing w:line="480" w:lineRule="auto"/>
        <w:ind w:left="720" w:hanging="720"/>
      </w:pPr>
      <w:r w:rsidRPr="00AB0344">
        <w:t>National Science Foundation. (2023</w:t>
      </w:r>
      <w:r>
        <w:t>a</w:t>
      </w:r>
      <w:r w:rsidRPr="00AB0344">
        <w:t xml:space="preserve">). </w:t>
      </w:r>
      <w:r w:rsidRPr="00AB0344">
        <w:rPr>
          <w:i/>
        </w:rPr>
        <w:t>Diversity and STEM: Women, Minorities, and Persons with Disabilities</w:t>
      </w:r>
      <w:r w:rsidRPr="00AB0344">
        <w:t>. Arlington, VA: Author. https://ncses.nsf.gov/pubs/nsf23315/</w:t>
      </w:r>
    </w:p>
    <w:p w14:paraId="2E478B47" w14:textId="77777777" w:rsidR="005B0484" w:rsidRPr="00833B61" w:rsidRDefault="005B0484" w:rsidP="005B0484">
      <w:pPr>
        <w:spacing w:line="480" w:lineRule="auto"/>
        <w:ind w:left="720" w:hanging="720"/>
      </w:pPr>
      <w:r w:rsidRPr="00AB0344">
        <w:t>National Science Foundation</w:t>
      </w:r>
      <w:r w:rsidRPr="00833B61">
        <w:rPr>
          <w:color w:val="000000"/>
        </w:rPr>
        <w:t>. (2023</w:t>
      </w:r>
      <w:r>
        <w:rPr>
          <w:color w:val="000000"/>
        </w:rPr>
        <w:t>b</w:t>
      </w:r>
      <w:r w:rsidRPr="00833B61">
        <w:rPr>
          <w:color w:val="000000"/>
        </w:rPr>
        <w:t xml:space="preserve">). </w:t>
      </w:r>
      <w:r w:rsidRPr="00833B61">
        <w:rPr>
          <w:i/>
          <w:iCs/>
          <w:color w:val="000000"/>
        </w:rPr>
        <w:t>Making visible the invisible: Understanding intersectionality</w:t>
      </w:r>
      <w:r w:rsidRPr="00833B61">
        <w:rPr>
          <w:color w:val="000000"/>
        </w:rPr>
        <w:t>. https://nsf-gov-resources.nsf.gov/2023-08/CEOSE-Report-2023.pdf?VersionId=iBB08P2e4Cfs_Fa.RUMkm0eY_Uao1Lvx </w:t>
      </w:r>
    </w:p>
    <w:p w14:paraId="09B6E03D" w14:textId="77777777" w:rsidR="005B0484" w:rsidRPr="00AB0344" w:rsidRDefault="005B0484" w:rsidP="005B0484">
      <w:pPr>
        <w:spacing w:line="480" w:lineRule="auto"/>
        <w:ind w:left="720" w:hanging="720"/>
      </w:pPr>
      <w:r w:rsidRPr="00AB0344">
        <w:t xml:space="preserve">Office of Disability Employment Policy. (2001, November). </w:t>
      </w:r>
      <w:r w:rsidRPr="00AB0344">
        <w:rPr>
          <w:i/>
        </w:rPr>
        <w:t>Improving the availability of community-based services for people with disabilities.</w:t>
      </w:r>
      <w:r w:rsidRPr="00AB0344">
        <w:t xml:space="preserve"> Washington, DC: Author.</w:t>
      </w:r>
    </w:p>
    <w:p w14:paraId="47C5358A" w14:textId="77777777" w:rsidR="005B0484" w:rsidRPr="00AB0344" w:rsidRDefault="005B0484" w:rsidP="005B0484">
      <w:pPr>
        <w:spacing w:line="480" w:lineRule="auto"/>
        <w:ind w:left="720" w:hanging="720"/>
      </w:pPr>
      <w:r w:rsidRPr="00AB0344">
        <w:t xml:space="preserve">Office of Science and Technology Policy. (2006). </w:t>
      </w:r>
      <w:r w:rsidRPr="00AB0344">
        <w:rPr>
          <w:i/>
        </w:rPr>
        <w:t>American competitiveness initiative: Leading the world in innovation</w:t>
      </w:r>
      <w:r w:rsidRPr="00AB0344">
        <w:t>. Washington, D.C.: Author.</w:t>
      </w:r>
    </w:p>
    <w:p w14:paraId="73A3BD81" w14:textId="77777777" w:rsidR="005B0484" w:rsidRPr="00AB0344" w:rsidRDefault="005B0484" w:rsidP="005B0484">
      <w:pPr>
        <w:spacing w:line="480" w:lineRule="auto"/>
        <w:ind w:left="720" w:hanging="720"/>
      </w:pPr>
      <w:r w:rsidRPr="00833B61">
        <w:rPr>
          <w:color w:val="000000"/>
        </w:rPr>
        <w:t xml:space="preserve"> Queensland Government. (2022, September 25). </w:t>
      </w:r>
      <w:r w:rsidRPr="00833B61">
        <w:rPr>
          <w:i/>
          <w:iCs/>
          <w:color w:val="000000"/>
        </w:rPr>
        <w:t>Social narratives</w:t>
      </w:r>
      <w:r w:rsidRPr="00833B61">
        <w:rPr>
          <w:color w:val="000000"/>
        </w:rPr>
        <w:t>. Autism Hub. https://autismhub.education.qld.gov.au/resources/functional-behaviour-assessment-tool/help/social-narratives</w:t>
      </w:r>
    </w:p>
    <w:p w14:paraId="6BA9FDEA" w14:textId="77777777" w:rsidR="005B0484" w:rsidRPr="00AB0344" w:rsidRDefault="005B0484" w:rsidP="005B0484">
      <w:pPr>
        <w:spacing w:line="480" w:lineRule="auto"/>
        <w:ind w:left="720" w:hanging="720"/>
      </w:pPr>
      <w:r w:rsidRPr="00AB0344">
        <w:lastRenderedPageBreak/>
        <w:t xml:space="preserve">SAP. (n.d.). </w:t>
      </w:r>
      <w:proofErr w:type="spellStart"/>
      <w:r>
        <w:t>Gloval</w:t>
      </w:r>
      <w:proofErr w:type="spellEnd"/>
      <w:r>
        <w:t xml:space="preserve"> diversity and inclusion</w:t>
      </w:r>
      <w:r w:rsidRPr="00AB0344">
        <w:t xml:space="preserve">. </w:t>
      </w:r>
      <w:r w:rsidRPr="00560DD8">
        <w:t>https://www.sap.com/about/company/our-values/diversity.html</w:t>
      </w:r>
    </w:p>
    <w:p w14:paraId="737EE42E" w14:textId="77777777" w:rsidR="005B0484" w:rsidRPr="00AB0344" w:rsidRDefault="005B0484" w:rsidP="005B0484">
      <w:pPr>
        <w:spacing w:line="480" w:lineRule="auto"/>
        <w:ind w:left="720" w:hanging="720"/>
      </w:pPr>
      <w:r w:rsidRPr="00AB0344">
        <w:t>SAS. (</w:t>
      </w:r>
      <w:r>
        <w:t>n.d.</w:t>
      </w:r>
      <w:r w:rsidRPr="00AB0344">
        <w:t xml:space="preserve">) </w:t>
      </w:r>
      <w:r w:rsidRPr="00560DD8">
        <w:rPr>
          <w:i/>
          <w:iCs/>
        </w:rPr>
        <w:t>Recognizing all abilities: Creating opportunities</w:t>
      </w:r>
      <w:r w:rsidRPr="00AB0344">
        <w:t xml:space="preserve">. </w:t>
      </w:r>
      <w:r w:rsidRPr="00560DD8">
        <w:t>https://www.sas.com/en_gb/company-information/diversity/all-abilities.html</w:t>
      </w:r>
    </w:p>
    <w:p w14:paraId="6604A162" w14:textId="77777777" w:rsidR="005B0484" w:rsidRPr="00AB0344" w:rsidRDefault="005B0484" w:rsidP="005B0484">
      <w:pPr>
        <w:spacing w:line="480" w:lineRule="auto"/>
        <w:ind w:left="720" w:hanging="720"/>
      </w:pPr>
      <w:r w:rsidRPr="00AB0344">
        <w:t>Taylor, V., &amp; Ladner, R. (2011). Data trends on minorities and people with disabilities in computing. </w:t>
      </w:r>
      <w:r w:rsidRPr="00AB0344">
        <w:rPr>
          <w:i/>
        </w:rPr>
        <w:t>Communications of the ACM, 54</w:t>
      </w:r>
      <w:r w:rsidRPr="00AB0344">
        <w:t>(12), 34–37.</w:t>
      </w:r>
    </w:p>
    <w:p w14:paraId="5AB0235D" w14:textId="77777777" w:rsidR="005B0484" w:rsidRPr="00AB0344" w:rsidRDefault="005B0484" w:rsidP="005B0484">
      <w:pPr>
        <w:spacing w:line="480" w:lineRule="auto"/>
        <w:ind w:left="720" w:hanging="720"/>
      </w:pPr>
      <w:r w:rsidRPr="00AB0344">
        <w:t xml:space="preserve">Thomas, D. (2004). Diversity as strategy. </w:t>
      </w:r>
      <w:r w:rsidRPr="00AB0344">
        <w:rPr>
          <w:i/>
          <w:iCs/>
        </w:rPr>
        <w:t>Harvard Business Review</w:t>
      </w:r>
      <w:r w:rsidRPr="00AB0344">
        <w:t>,</w:t>
      </w:r>
      <w:r w:rsidRPr="00AB0344">
        <w:rPr>
          <w:i/>
          <w:iCs/>
        </w:rPr>
        <w:t xml:space="preserve"> 9</w:t>
      </w:r>
      <w:r w:rsidRPr="00AB0344">
        <w:t>(9), pp. 98–108.</w:t>
      </w:r>
    </w:p>
    <w:p w14:paraId="32497CCE" w14:textId="77777777" w:rsidR="005B0484" w:rsidRDefault="005B0484" w:rsidP="005B0484">
      <w:pPr>
        <w:spacing w:line="480" w:lineRule="auto"/>
        <w:ind w:left="720" w:hanging="720"/>
      </w:pPr>
      <w:r w:rsidRPr="00AB0344">
        <w:t xml:space="preserve">Yardi, S. &amp; Bruckman, A. (2007). What is </w:t>
      </w:r>
      <w:proofErr w:type="gramStart"/>
      <w:r w:rsidRPr="00AB0344">
        <w:t>computing?:</w:t>
      </w:r>
      <w:proofErr w:type="gramEnd"/>
      <w:r w:rsidRPr="00AB0344">
        <w:t xml:space="preserve"> Bridging the gap between teenagers' perceptions and graduate students' experiences. In </w:t>
      </w:r>
      <w:r w:rsidRPr="00AB0344">
        <w:rPr>
          <w:i/>
          <w:iCs/>
        </w:rPr>
        <w:t>Proceedings of the Third International Workshop on Computing Education Research</w:t>
      </w:r>
      <w:r w:rsidRPr="00AB0344">
        <w:t xml:space="preserve"> (pp. 39–50). Atlanta, GA: ACM Press.</w:t>
      </w:r>
    </w:p>
    <w:p w14:paraId="4AB6FA95" w14:textId="77777777" w:rsidR="006B3AF0" w:rsidRDefault="006B3AF0" w:rsidP="005B0484">
      <w:pPr>
        <w:spacing w:line="480" w:lineRule="auto"/>
        <w:ind w:left="720" w:hanging="720"/>
      </w:pPr>
    </w:p>
    <w:p w14:paraId="3F4DD4A6" w14:textId="77777777" w:rsidR="006B3AF0" w:rsidRDefault="006B3AF0" w:rsidP="00343C35">
      <w:pPr>
        <w:spacing w:line="480" w:lineRule="auto"/>
        <w:ind w:firstLine="0"/>
      </w:pPr>
    </w:p>
    <w:p w14:paraId="37277469" w14:textId="77777777" w:rsidR="00FF02E5" w:rsidRDefault="00FF02E5" w:rsidP="00343C35">
      <w:pPr>
        <w:spacing w:line="480" w:lineRule="auto"/>
        <w:ind w:firstLine="0"/>
      </w:pPr>
    </w:p>
    <w:p w14:paraId="2CE38F22" w14:textId="77777777" w:rsidR="00FF02E5" w:rsidRDefault="00FF02E5" w:rsidP="00343C35">
      <w:pPr>
        <w:spacing w:line="480" w:lineRule="auto"/>
        <w:ind w:firstLine="0"/>
      </w:pPr>
    </w:p>
    <w:p w14:paraId="0B2AD5D2" w14:textId="77777777" w:rsidR="00FF02E5" w:rsidRDefault="00FF02E5" w:rsidP="00343C35">
      <w:pPr>
        <w:spacing w:line="480" w:lineRule="auto"/>
        <w:ind w:firstLine="0"/>
      </w:pPr>
    </w:p>
    <w:p w14:paraId="55526FFA" w14:textId="4CA8CD23" w:rsidR="006B3AF0" w:rsidRPr="00CA7CCB" w:rsidRDefault="006B3AF0" w:rsidP="006B3AF0">
      <w:pPr>
        <w:ind w:firstLine="0"/>
        <w:outlineLvl w:val="0"/>
        <w:rPr>
          <w:b/>
          <w:bCs/>
          <w:color w:val="000000"/>
          <w:kern w:val="36"/>
        </w:rPr>
      </w:pPr>
      <w:r>
        <w:rPr>
          <w:color w:val="000000"/>
          <w:bdr w:val="none" w:sz="0" w:space="0" w:color="auto" w:frame="1"/>
        </w:rPr>
        <w:fldChar w:fldCharType="begin"/>
      </w:r>
      <w:r>
        <w:rPr>
          <w:color w:val="000000"/>
          <w:bdr w:val="none" w:sz="0" w:space="0" w:color="auto" w:frame="1"/>
        </w:rPr>
        <w:instrText xml:space="preserve"> INCLUDEPICTURE "https://lh7-us.googleusercontent.com/docsz/AD_4nXeUUXTbqYk4QxGSTcH_fPSCc7cV1LwEYFp3VfyUpHnxrA6iVXGlZuCis_EdNN62p2pQSCiTYrn4scvS410BbiB88YqxsZJ91sXp2qeaGuuoQKnaAdKcFqh3pKB7Af2fe8J3gS-4R8tR2Wt1GkECh7qC28q1kqrRnMo7WbnATdkWwTjAm8LGGQI?key=6zzRWt5vMjtA0Hnq6Tyngw"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569EB44B" wp14:editId="21777F5C">
            <wp:extent cx="1016000" cy="186055"/>
            <wp:effectExtent l="0" t="0" r="0" b="4445"/>
            <wp:docPr id="1717804849"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Pr="006B3AF0">
        <w:rPr>
          <w:b/>
          <w:bCs/>
          <w:color w:val="000000"/>
          <w:kern w:val="36"/>
        </w:rPr>
        <w:t>Neuroscience for Neurodiverse Learners:</w:t>
      </w:r>
      <w:r>
        <w:rPr>
          <w:b/>
          <w:bCs/>
          <w:color w:val="000000"/>
          <w:kern w:val="36"/>
        </w:rPr>
        <w:t xml:space="preserve"> </w:t>
      </w:r>
      <w:r w:rsidRPr="006B3AF0">
        <w:rPr>
          <w:b/>
          <w:bCs/>
          <w:color w:val="000000"/>
          <w:kern w:val="36"/>
        </w:rPr>
        <w:t>Lessons Learned about Engaging All Students</w:t>
      </w:r>
      <w:r>
        <w:rPr>
          <w:b/>
          <w:bCs/>
          <w:color w:val="000000"/>
          <w:kern w:val="36"/>
        </w:rPr>
        <w:t xml:space="preserve"> by </w:t>
      </w:r>
      <w:r w:rsidRPr="006B3AF0">
        <w:rPr>
          <w:b/>
          <w:bCs/>
          <w:color w:val="000000"/>
          <w:kern w:val="36"/>
        </w:rPr>
        <w:t>Scott Bellman</w:t>
      </w:r>
      <w:r>
        <w:rPr>
          <w:b/>
          <w:bCs/>
          <w:color w:val="000000"/>
          <w:kern w:val="36"/>
        </w:rPr>
        <w:t xml:space="preserve">, </w:t>
      </w:r>
      <w:r w:rsidRPr="006B3AF0">
        <w:rPr>
          <w:b/>
          <w:bCs/>
          <w:color w:val="000000"/>
          <w:kern w:val="36"/>
        </w:rPr>
        <w:t>Lyla Crawford</w:t>
      </w:r>
      <w:r>
        <w:rPr>
          <w:b/>
          <w:bCs/>
          <w:color w:val="000000"/>
          <w:kern w:val="36"/>
        </w:rPr>
        <w:t xml:space="preserve">, </w:t>
      </w:r>
      <w:r w:rsidRPr="006B3AF0">
        <w:rPr>
          <w:b/>
          <w:bCs/>
          <w:color w:val="000000"/>
          <w:kern w:val="36"/>
        </w:rPr>
        <w:t xml:space="preserve">Eric H. </w:t>
      </w:r>
      <w:proofErr w:type="spellStart"/>
      <w:r w:rsidRPr="006B3AF0">
        <w:rPr>
          <w:b/>
          <w:bCs/>
          <w:color w:val="000000"/>
          <w:kern w:val="36"/>
        </w:rPr>
        <w:t>Chudler</w:t>
      </w:r>
      <w:proofErr w:type="spellEnd"/>
      <w:r>
        <w:rPr>
          <w:b/>
          <w:bCs/>
          <w:color w:val="000000"/>
          <w:kern w:val="36"/>
        </w:rPr>
        <w:t xml:space="preserve">, and </w:t>
      </w:r>
      <w:r w:rsidRPr="006B3AF0">
        <w:rPr>
          <w:b/>
          <w:bCs/>
          <w:color w:val="000000"/>
          <w:kern w:val="36"/>
        </w:rPr>
        <w:t>Rajesh P. N. Rao</w:t>
      </w:r>
      <w:r>
        <w:rPr>
          <w:b/>
          <w:bCs/>
          <w:color w:val="000000"/>
          <w:kern w:val="36"/>
        </w:rPr>
        <w:t xml:space="preserve"> </w:t>
      </w:r>
      <w:hyperlink r:id="rId9" w:history="1">
        <w:r w:rsidR="00400F78" w:rsidRPr="0073255D">
          <w:rPr>
            <w:rStyle w:val="Hyperlink"/>
          </w:rPr>
          <w:t>https://rdsjournal.org/index.php/journal/article/view/1353</w:t>
        </w:r>
      </w:hyperlink>
      <w:r>
        <w:t xml:space="preserve"> </w:t>
      </w:r>
      <w:r>
        <w:rPr>
          <w:color w:val="000000"/>
        </w:rPr>
        <w:t>is licensed under a</w:t>
      </w:r>
      <w:hyperlink r:id="rId10" w:history="1">
        <w:r>
          <w:rPr>
            <w:rStyle w:val="Hyperlink"/>
            <w:color w:val="000000"/>
          </w:rPr>
          <w:t xml:space="preserve"> </w:t>
        </w:r>
        <w:r>
          <w:rPr>
            <w:rStyle w:val="Hyperlink"/>
            <w:color w:val="1155CC"/>
          </w:rPr>
          <w:t>Creative Commons Attribution 4.0 International License</w:t>
        </w:r>
      </w:hyperlink>
      <w:r>
        <w:rPr>
          <w:color w:val="000000"/>
        </w:rPr>
        <w:t>. Based on a work at</w:t>
      </w:r>
      <w:hyperlink r:id="rId11" w:history="1">
        <w:r>
          <w:rPr>
            <w:rStyle w:val="Hyperlink"/>
            <w:color w:val="000000"/>
          </w:rPr>
          <w:t xml:space="preserve"> </w:t>
        </w:r>
        <w:r>
          <w:rPr>
            <w:rStyle w:val="Hyperlink"/>
            <w:color w:val="1155CC"/>
          </w:rPr>
          <w:t>https://rdsjournal.org</w:t>
        </w:r>
      </w:hyperlink>
      <w:r>
        <w:rPr>
          <w:color w:val="000000"/>
        </w:rPr>
        <w:t>.</w:t>
      </w:r>
    </w:p>
    <w:p w14:paraId="49B13D68" w14:textId="77777777" w:rsidR="00A537CB" w:rsidRPr="005B0484" w:rsidRDefault="00A537CB" w:rsidP="00400F78">
      <w:pPr>
        <w:ind w:firstLine="0"/>
      </w:pPr>
    </w:p>
    <w:sectPr w:rsidR="00A537CB" w:rsidRPr="005B048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15213" w14:textId="77777777" w:rsidR="00A91823" w:rsidRDefault="00A91823">
      <w:pPr>
        <w:spacing w:after="0" w:line="240" w:lineRule="auto"/>
      </w:pPr>
      <w:r>
        <w:separator/>
      </w:r>
    </w:p>
  </w:endnote>
  <w:endnote w:type="continuationSeparator" w:id="0">
    <w:p w14:paraId="5E189906" w14:textId="77777777" w:rsidR="00A91823" w:rsidRDefault="00A91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doni MT">
    <w:panose1 w:val="02070603080606020203"/>
    <w:charset w:val="4D"/>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B251E"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F6345"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0B2028" w14:paraId="72DE7973" w14:textId="77777777">
      <w:trPr>
        <w:trHeight w:val="500"/>
        <w:jc w:val="center"/>
      </w:trPr>
      <w:tc>
        <w:tcPr>
          <w:tcW w:w="11895" w:type="dxa"/>
          <w:shd w:val="clear" w:color="auto" w:fill="400080"/>
          <w:tcMar>
            <w:top w:w="0" w:type="dxa"/>
            <w:left w:w="0" w:type="dxa"/>
            <w:bottom w:w="0" w:type="dxa"/>
            <w:right w:w="0" w:type="dxa"/>
          </w:tcMar>
          <w:vAlign w:val="center"/>
        </w:tcPr>
        <w:p w14:paraId="22F02C41" w14:textId="77777777" w:rsidR="000B2028" w:rsidRDefault="0000000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71D60">
            <w:rPr>
              <w:rFonts w:ascii="Arial" w:eastAsia="Arial" w:hAnsi="Arial" w:cs="Arial"/>
              <w:noProof/>
              <w:color w:val="FFFFFF"/>
            </w:rPr>
            <w:t>1</w:t>
          </w:r>
          <w:r>
            <w:rPr>
              <w:rFonts w:ascii="Arial" w:eastAsia="Arial" w:hAnsi="Arial" w:cs="Arial"/>
              <w:color w:val="FFFFFF"/>
            </w:rPr>
            <w:fldChar w:fldCharType="end"/>
          </w:r>
        </w:p>
      </w:tc>
    </w:tr>
  </w:tbl>
  <w:p w14:paraId="5BE627B0"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B4724"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39A5C" w14:textId="77777777" w:rsidR="00A91823" w:rsidRDefault="00A91823">
      <w:pPr>
        <w:spacing w:after="0" w:line="240" w:lineRule="auto"/>
      </w:pPr>
      <w:r>
        <w:separator/>
      </w:r>
    </w:p>
  </w:footnote>
  <w:footnote w:type="continuationSeparator" w:id="0">
    <w:p w14:paraId="14D8ED62" w14:textId="77777777" w:rsidR="00A91823" w:rsidRDefault="00A91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BD3BA"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C60F" w14:textId="77777777" w:rsidR="000B2028" w:rsidRDefault="000B2028">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0B2028" w14:paraId="7BB7A8C3" w14:textId="77777777">
      <w:trPr>
        <w:trHeight w:val="800"/>
        <w:jc w:val="center"/>
      </w:trPr>
      <w:tc>
        <w:tcPr>
          <w:tcW w:w="10320" w:type="dxa"/>
          <w:shd w:val="clear" w:color="auto" w:fill="400080"/>
          <w:vAlign w:val="center"/>
        </w:tcPr>
        <w:p w14:paraId="23350A83" w14:textId="77777777" w:rsidR="000B2028" w:rsidRDefault="00000000" w:rsidP="008B4F06">
          <w:pPr>
            <w:widowControl/>
            <w:pBdr>
              <w:top w:val="nil"/>
              <w:left w:val="nil"/>
              <w:bottom w:val="nil"/>
              <w:right w:val="nil"/>
              <w:between w:val="nil"/>
            </w:pBdr>
            <w:tabs>
              <w:tab w:val="center" w:pos="4320"/>
              <w:tab w:val="right" w:pos="8640"/>
            </w:tabs>
            <w:spacing w:after="0" w:line="240" w:lineRule="auto"/>
            <w:ind w:right="244"/>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7466A2E0" w14:textId="66107792" w:rsidR="00CF05BF"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w:t>
          </w:r>
          <w:r w:rsidR="009766F5">
            <w:rPr>
              <w:rFonts w:ascii="Arial" w:eastAsia="Arial" w:hAnsi="Arial" w:cs="Arial"/>
              <w:b/>
              <w:color w:val="FFFFFF"/>
              <w:sz w:val="22"/>
              <w:szCs w:val="22"/>
            </w:rPr>
            <w:t>ume</w:t>
          </w:r>
          <w:r>
            <w:rPr>
              <w:rFonts w:ascii="Arial" w:eastAsia="Arial" w:hAnsi="Arial" w:cs="Arial"/>
              <w:b/>
              <w:color w:val="FFFFFF"/>
              <w:sz w:val="22"/>
              <w:szCs w:val="22"/>
            </w:rPr>
            <w:t xml:space="preserve"> </w:t>
          </w:r>
          <w:r w:rsidR="009766F5">
            <w:rPr>
              <w:rFonts w:ascii="Arial" w:eastAsia="Arial" w:hAnsi="Arial" w:cs="Arial"/>
              <w:b/>
              <w:color w:val="FFFFFF"/>
              <w:sz w:val="22"/>
              <w:szCs w:val="22"/>
            </w:rPr>
            <w:t>20</w:t>
          </w:r>
          <w:r>
            <w:rPr>
              <w:rFonts w:ascii="Arial" w:eastAsia="Arial" w:hAnsi="Arial" w:cs="Arial"/>
              <w:b/>
              <w:color w:val="FFFFFF"/>
              <w:sz w:val="22"/>
              <w:szCs w:val="22"/>
            </w:rPr>
            <w:t xml:space="preserve"> Issue</w:t>
          </w:r>
          <w:r w:rsidR="009766F5">
            <w:rPr>
              <w:rFonts w:ascii="Arial" w:eastAsia="Arial" w:hAnsi="Arial" w:cs="Arial"/>
              <w:b/>
              <w:color w:val="FFFFFF"/>
              <w:sz w:val="22"/>
              <w:szCs w:val="22"/>
            </w:rPr>
            <w:t xml:space="preserve"> 1</w:t>
          </w:r>
        </w:p>
        <w:p w14:paraId="08E2B147" w14:textId="20836D61" w:rsidR="00655CCB"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sz w:val="22"/>
              <w:szCs w:val="22"/>
            </w:rPr>
            <w:t>(2024)</w:t>
          </w:r>
        </w:p>
      </w:tc>
    </w:tr>
  </w:tbl>
  <w:p w14:paraId="4FD234FA" w14:textId="77777777" w:rsidR="000B2028" w:rsidRDefault="000B202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6E660"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D2A06"/>
    <w:multiLevelType w:val="hybridMultilevel"/>
    <w:tmpl w:val="E9E0E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B6AE0"/>
    <w:multiLevelType w:val="hybridMultilevel"/>
    <w:tmpl w:val="6396C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460D0"/>
    <w:multiLevelType w:val="hybridMultilevel"/>
    <w:tmpl w:val="A0C64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DE62827"/>
    <w:multiLevelType w:val="hybridMultilevel"/>
    <w:tmpl w:val="1000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C56BFC"/>
    <w:multiLevelType w:val="multilevel"/>
    <w:tmpl w:val="F95A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0D7A03"/>
    <w:multiLevelType w:val="hybridMultilevel"/>
    <w:tmpl w:val="817CD566"/>
    <w:lvl w:ilvl="0" w:tplc="A726E6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4450460">
    <w:abstractNumId w:val="3"/>
  </w:num>
  <w:num w:numId="2" w16cid:durableId="1861968716">
    <w:abstractNumId w:val="1"/>
  </w:num>
  <w:num w:numId="3" w16cid:durableId="1251744057">
    <w:abstractNumId w:val="5"/>
  </w:num>
  <w:num w:numId="4" w16cid:durableId="1074819899">
    <w:abstractNumId w:val="4"/>
  </w:num>
  <w:num w:numId="5" w16cid:durableId="596669303">
    <w:abstractNumId w:val="0"/>
  </w:num>
  <w:num w:numId="6" w16cid:durableId="716860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28"/>
    <w:rsid w:val="00024B45"/>
    <w:rsid w:val="00030C10"/>
    <w:rsid w:val="000310F5"/>
    <w:rsid w:val="0003544F"/>
    <w:rsid w:val="0004264D"/>
    <w:rsid w:val="00065BF7"/>
    <w:rsid w:val="000664A8"/>
    <w:rsid w:val="00096B6E"/>
    <w:rsid w:val="000B2028"/>
    <w:rsid w:val="000B2DE6"/>
    <w:rsid w:val="00153879"/>
    <w:rsid w:val="00157428"/>
    <w:rsid w:val="00164DFE"/>
    <w:rsid w:val="001C73A0"/>
    <w:rsid w:val="001D7A2F"/>
    <w:rsid w:val="00224D29"/>
    <w:rsid w:val="002464E9"/>
    <w:rsid w:val="00255EFC"/>
    <w:rsid w:val="00271E7E"/>
    <w:rsid w:val="00284C27"/>
    <w:rsid w:val="00343C35"/>
    <w:rsid w:val="0034459A"/>
    <w:rsid w:val="0037028A"/>
    <w:rsid w:val="003C5CCA"/>
    <w:rsid w:val="003D25A4"/>
    <w:rsid w:val="00400F78"/>
    <w:rsid w:val="00411AB3"/>
    <w:rsid w:val="00487282"/>
    <w:rsid w:val="00492057"/>
    <w:rsid w:val="004C6031"/>
    <w:rsid w:val="004D0894"/>
    <w:rsid w:val="00551C0F"/>
    <w:rsid w:val="005B0484"/>
    <w:rsid w:val="005B33B8"/>
    <w:rsid w:val="005C60FC"/>
    <w:rsid w:val="00625601"/>
    <w:rsid w:val="006459E8"/>
    <w:rsid w:val="00655CCB"/>
    <w:rsid w:val="00662735"/>
    <w:rsid w:val="00667B6B"/>
    <w:rsid w:val="006B3AF0"/>
    <w:rsid w:val="007146F2"/>
    <w:rsid w:val="00727A7E"/>
    <w:rsid w:val="00771D60"/>
    <w:rsid w:val="007E2A51"/>
    <w:rsid w:val="008B0F57"/>
    <w:rsid w:val="008B4F06"/>
    <w:rsid w:val="008F66A2"/>
    <w:rsid w:val="009766F5"/>
    <w:rsid w:val="00990F30"/>
    <w:rsid w:val="009D0627"/>
    <w:rsid w:val="009E1D16"/>
    <w:rsid w:val="00A00EED"/>
    <w:rsid w:val="00A02F5F"/>
    <w:rsid w:val="00A46B9B"/>
    <w:rsid w:val="00A537CB"/>
    <w:rsid w:val="00A81F8C"/>
    <w:rsid w:val="00A87845"/>
    <w:rsid w:val="00A91823"/>
    <w:rsid w:val="00AA009E"/>
    <w:rsid w:val="00AA4A8D"/>
    <w:rsid w:val="00AF5CDD"/>
    <w:rsid w:val="00B32CFF"/>
    <w:rsid w:val="00B354E6"/>
    <w:rsid w:val="00B61C29"/>
    <w:rsid w:val="00B83901"/>
    <w:rsid w:val="00BA2529"/>
    <w:rsid w:val="00C04329"/>
    <w:rsid w:val="00C128F6"/>
    <w:rsid w:val="00C33398"/>
    <w:rsid w:val="00C52132"/>
    <w:rsid w:val="00C5287E"/>
    <w:rsid w:val="00C62C6C"/>
    <w:rsid w:val="00CA7CCB"/>
    <w:rsid w:val="00CF05BF"/>
    <w:rsid w:val="00CF531F"/>
    <w:rsid w:val="00D63609"/>
    <w:rsid w:val="00D63EBA"/>
    <w:rsid w:val="00DD0A6A"/>
    <w:rsid w:val="00E50057"/>
    <w:rsid w:val="00EB3BB3"/>
    <w:rsid w:val="00EB706A"/>
    <w:rsid w:val="00ED1862"/>
    <w:rsid w:val="00F00B9B"/>
    <w:rsid w:val="00F17DC9"/>
    <w:rsid w:val="00F62D8E"/>
    <w:rsid w:val="00F77E7A"/>
    <w:rsid w:val="00F8586D"/>
    <w:rsid w:val="00FB1350"/>
    <w:rsid w:val="00FC0E3D"/>
    <w:rsid w:val="00FC6C9F"/>
    <w:rsid w:val="00FF0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D3AC"/>
  <w15:docId w15:val="{06BA4856-31DB-B24B-8E8F-52FC2F8A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rmalWeb">
    <w:name w:val="Normal (Web)"/>
    <w:basedOn w:val="Normal"/>
    <w:uiPriority w:val="99"/>
    <w:unhideWhenUsed/>
    <w:rsid w:val="00D92186"/>
    <w:pPr>
      <w:widowControl/>
      <w:spacing w:before="100" w:beforeAutospacing="1" w:after="100" w:afterAutospacing="1" w:line="240" w:lineRule="auto"/>
      <w:ind w:firstLine="0"/>
    </w:pPr>
    <w:rPr>
      <w:lang w:eastAsia="zh-CN"/>
    </w:rPr>
  </w:style>
  <w:style w:type="paragraph" w:styleId="Revision">
    <w:name w:val="Revision"/>
    <w:hidden/>
    <w:uiPriority w:val="99"/>
    <w:semiHidden/>
    <w:rsid w:val="007A4DE9"/>
    <w:pPr>
      <w:widowControl/>
      <w:spacing w:after="0" w:line="240" w:lineRule="auto"/>
      <w:ind w:firstLine="0"/>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semiHidden/>
    <w:rsid w:val="00CF05BF"/>
    <w:rPr>
      <w:rFonts w:ascii="Arial" w:eastAsia="Arial" w:hAnsi="Arial" w:cs="Arial"/>
      <w:sz w:val="20"/>
      <w:szCs w:val="20"/>
      <w:lang w:val="en" w:eastAsia="en-US"/>
    </w:rPr>
  </w:style>
  <w:style w:type="paragraph" w:styleId="FootnoteText">
    <w:name w:val="footnote text"/>
    <w:basedOn w:val="Normal"/>
    <w:link w:val="FootnoteTextChar"/>
    <w:uiPriority w:val="99"/>
    <w:semiHidden/>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FootnoteTextChar">
    <w:name w:val="Footnote Text Char"/>
    <w:basedOn w:val="DefaultParagraphFont"/>
    <w:link w:val="FootnoteText"/>
    <w:uiPriority w:val="99"/>
    <w:semiHidden/>
    <w:rsid w:val="00CF05BF"/>
    <w:rPr>
      <w:rFonts w:ascii="Arial" w:eastAsia="Arial" w:hAnsi="Arial" w:cs="Arial"/>
      <w:sz w:val="20"/>
      <w:szCs w:val="20"/>
      <w:lang w:val="en" w:eastAsia="en-US"/>
    </w:rPr>
  </w:style>
  <w:style w:type="character" w:styleId="FootnoteReference">
    <w:name w:val="footnote reference"/>
    <w:basedOn w:val="DefaultParagraphFont"/>
    <w:uiPriority w:val="99"/>
    <w:semiHidden/>
    <w:unhideWhenUsed/>
    <w:rsid w:val="00CF05BF"/>
    <w:rPr>
      <w:vertAlign w:val="superscript"/>
    </w:rPr>
  </w:style>
  <w:style w:type="character" w:styleId="CommentReference">
    <w:name w:val="annotation reference"/>
    <w:basedOn w:val="DefaultParagraphFont"/>
    <w:uiPriority w:val="99"/>
    <w:semiHidden/>
    <w:unhideWhenUsed/>
    <w:rsid w:val="002464E9"/>
    <w:rPr>
      <w:sz w:val="16"/>
      <w:szCs w:val="16"/>
    </w:rPr>
  </w:style>
  <w:style w:type="paragraph" w:styleId="CommentSubject">
    <w:name w:val="annotation subject"/>
    <w:basedOn w:val="CommentText"/>
    <w:next w:val="CommentText"/>
    <w:link w:val="CommentSubjectChar"/>
    <w:uiPriority w:val="99"/>
    <w:semiHidden/>
    <w:unhideWhenUsed/>
    <w:rsid w:val="002464E9"/>
    <w:pPr>
      <w:widowControl w:val="0"/>
      <w:spacing w:after="200"/>
      <w:ind w:firstLine="720"/>
    </w:pPr>
    <w:rPr>
      <w:rFonts w:ascii="Times New Roman" w:eastAsia="Times New Roman" w:hAnsi="Times New Roman" w:cs="Times New Roman"/>
      <w:b/>
      <w:bCs/>
      <w:lang w:val="en-US" w:eastAsia="ja-JP"/>
    </w:rPr>
  </w:style>
  <w:style w:type="character" w:customStyle="1" w:styleId="CommentSubjectChar">
    <w:name w:val="Comment Subject Char"/>
    <w:basedOn w:val="CommentTextChar"/>
    <w:link w:val="CommentSubject"/>
    <w:uiPriority w:val="99"/>
    <w:semiHidden/>
    <w:rsid w:val="002464E9"/>
    <w:rPr>
      <w:rFonts w:ascii="Arial" w:eastAsia="Arial" w:hAnsi="Arial" w:cs="Arial"/>
      <w:b/>
      <w:bCs/>
      <w:sz w:val="20"/>
      <w:szCs w:val="20"/>
      <w:lang w:val="en" w:eastAsia="en-US"/>
    </w:rPr>
  </w:style>
  <w:style w:type="character" w:styleId="Hyperlink">
    <w:name w:val="Hyperlink"/>
    <w:basedOn w:val="DefaultParagraphFont"/>
    <w:uiPriority w:val="99"/>
    <w:unhideWhenUsed/>
    <w:rsid w:val="00A87845"/>
    <w:rPr>
      <w:color w:val="0000FF" w:themeColor="hyperlink"/>
      <w:u w:val="single"/>
    </w:rPr>
  </w:style>
  <w:style w:type="character" w:styleId="UnresolvedMention">
    <w:name w:val="Unresolved Mention"/>
    <w:basedOn w:val="DefaultParagraphFont"/>
    <w:uiPriority w:val="99"/>
    <w:semiHidden/>
    <w:unhideWhenUsed/>
    <w:rsid w:val="00A87845"/>
    <w:rPr>
      <w:color w:val="605E5C"/>
      <w:shd w:val="clear" w:color="auto" w:fill="E1DFDD"/>
    </w:rPr>
  </w:style>
  <w:style w:type="character" w:styleId="FollowedHyperlink">
    <w:name w:val="FollowedHyperlink"/>
    <w:basedOn w:val="DefaultParagraphFont"/>
    <w:uiPriority w:val="99"/>
    <w:semiHidden/>
    <w:unhideWhenUsed/>
    <w:rsid w:val="00990F30"/>
    <w:rPr>
      <w:color w:val="800080" w:themeColor="followedHyperlink"/>
      <w:u w:val="single"/>
    </w:rPr>
  </w:style>
  <w:style w:type="paragraph" w:styleId="ListParagraph">
    <w:name w:val="List Paragraph"/>
    <w:basedOn w:val="Normal"/>
    <w:uiPriority w:val="34"/>
    <w:qFormat/>
    <w:rsid w:val="009766F5"/>
    <w:pPr>
      <w:widowControl/>
      <w:spacing w:after="160" w:line="278" w:lineRule="auto"/>
      <w:ind w:left="720" w:firstLine="0"/>
      <w:contextualSpacing/>
    </w:pPr>
    <w:rPr>
      <w:rFonts w:asciiTheme="minorHAnsi" w:eastAsiaTheme="minorEastAsia" w:hAnsiTheme="minorHAnsi" w:cstheme="minorBidi"/>
      <w:kern w:val="2"/>
      <w:lang w:val="en-GB"/>
      <w14:ligatures w14:val="standardContextual"/>
    </w:rPr>
  </w:style>
  <w:style w:type="paragraph" w:customStyle="1" w:styleId="Default">
    <w:name w:val="Default"/>
    <w:rsid w:val="005B0484"/>
    <w:pPr>
      <w:autoSpaceDE w:val="0"/>
      <w:autoSpaceDN w:val="0"/>
      <w:adjustRightInd w:val="0"/>
      <w:spacing w:after="0" w:line="240" w:lineRule="auto"/>
      <w:ind w:firstLine="0"/>
    </w:pPr>
    <w:rPr>
      <w:rFonts w:ascii="Bodoni MT" w:eastAsiaTheme="minorEastAsia" w:hAnsi="Bodoni MT" w:cs="Bodoni MT"/>
      <w:color w:val="000000"/>
      <w:lang w:eastAsia="en-US"/>
    </w:rPr>
  </w:style>
  <w:style w:type="paragraph" w:styleId="EndnoteText">
    <w:name w:val="endnote text"/>
    <w:basedOn w:val="Normal"/>
    <w:link w:val="EndnoteTextChar"/>
    <w:unhideWhenUsed/>
    <w:rsid w:val="005B0484"/>
    <w:pPr>
      <w:widowControl/>
      <w:spacing w:after="0" w:line="240" w:lineRule="auto"/>
      <w:ind w:firstLine="0"/>
    </w:pPr>
    <w:rPr>
      <w:rFonts w:asciiTheme="minorHAnsi" w:eastAsiaTheme="minorHAnsi" w:hAnsiTheme="minorHAnsi" w:cstheme="minorBidi"/>
      <w:kern w:val="2"/>
      <w:sz w:val="20"/>
      <w:szCs w:val="20"/>
      <w:lang w:eastAsia="en-US"/>
      <w14:ligatures w14:val="standardContextual"/>
    </w:rPr>
  </w:style>
  <w:style w:type="character" w:customStyle="1" w:styleId="EndnoteTextChar">
    <w:name w:val="Endnote Text Char"/>
    <w:basedOn w:val="DefaultParagraphFont"/>
    <w:link w:val="EndnoteText"/>
    <w:rsid w:val="005B0484"/>
    <w:rPr>
      <w:rFonts w:asciiTheme="minorHAnsi" w:eastAsiaTheme="minorHAnsi" w:hAnsiTheme="minorHAnsi" w:cstheme="minorBidi"/>
      <w:kern w:val="2"/>
      <w:sz w:val="20"/>
      <w:szCs w:val="20"/>
      <w:lang w:eastAsia="en-US"/>
      <w14:ligatures w14:val="standardContextual"/>
    </w:rPr>
  </w:style>
  <w:style w:type="paragraph" w:customStyle="1" w:styleId="BodyText11">
    <w:name w:val="Body Text11"/>
    <w:rsid w:val="005B0484"/>
    <w:pPr>
      <w:widowControl/>
      <w:tabs>
        <w:tab w:val="left" w:pos="0"/>
        <w:tab w:val="left" w:pos="1440"/>
        <w:tab w:val="left" w:pos="2160"/>
        <w:tab w:val="left" w:pos="2880"/>
        <w:tab w:val="left" w:pos="3600"/>
        <w:tab w:val="left" w:pos="4320"/>
        <w:tab w:val="left" w:pos="5040"/>
        <w:tab w:val="left" w:pos="5760"/>
        <w:tab w:val="left" w:pos="6480"/>
        <w:tab w:val="left" w:pos="7920"/>
        <w:tab w:val="left" w:pos="9360"/>
        <w:tab w:val="left" w:pos="10080"/>
        <w:tab w:val="left" w:pos="10800"/>
        <w:tab w:val="left" w:pos="12240"/>
        <w:tab w:val="left" w:pos="12960"/>
        <w:tab w:val="left" w:pos="13680"/>
        <w:tab w:val="left" w:pos="14400"/>
      </w:tabs>
      <w:spacing w:after="0" w:line="240" w:lineRule="auto"/>
      <w:ind w:firstLine="0"/>
    </w:pPr>
    <w:rPr>
      <w:rFonts w:cs="Helvetica"/>
      <w:bCs/>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dsjourna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dsjournal.org/index.php/journal/article/view/135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XqetbdujpnK/smGYfNncSJ8cQ==">CgMxLjAaFAoBMBIPCg0IB0IJEgdHdW5nc3VoGhQKATESDwoNCAdCCRIHR3VuZ3N1aDgAciExejF0S29Gd1RYXzZPaG82cWZKZjJULTNCc2RjUXRvamU=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5940</Words>
  <Characters>33864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3</cp:revision>
  <cp:lastPrinted>2024-12-28T01:49:00Z</cp:lastPrinted>
  <dcterms:created xsi:type="dcterms:W3CDTF">2024-12-28T01:49:00Z</dcterms:created>
  <dcterms:modified xsi:type="dcterms:W3CDTF">2024-12-28T02:19:00Z</dcterms:modified>
</cp:coreProperties>
</file>