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5674C888" w14:textId="5B141080" w:rsidR="00165E49" w:rsidRPr="00165E49" w:rsidRDefault="00165E49" w:rsidP="00FF7B13">
      <w:pPr>
        <w:ind w:firstLine="0"/>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0E5577CD" w14:textId="5DEE74D5" w:rsidR="0093183C" w:rsidRDefault="0093183C" w:rsidP="00FF7B13">
      <w:pPr>
        <w:pStyle w:val="Style2"/>
      </w:pPr>
    </w:p>
    <w:p w14:paraId="25E64F06" w14:textId="77777777" w:rsidR="0063111A" w:rsidRDefault="0063111A" w:rsidP="00FF7B13">
      <w:pPr>
        <w:ind w:firstLine="0"/>
        <w:jc w:val="center"/>
        <w:rPr>
          <w:b/>
        </w:rPr>
      </w:pPr>
      <w:r>
        <w:rPr>
          <w:b/>
        </w:rPr>
        <w:t>A Promising Intervention Model to Promote Postsecondary Transition and Career Development</w:t>
      </w:r>
    </w:p>
    <w:p w14:paraId="79030280" w14:textId="77777777" w:rsidR="0063111A" w:rsidRDefault="0063111A" w:rsidP="0063111A">
      <w:pPr>
        <w:jc w:val="center"/>
        <w:rPr>
          <w:b/>
        </w:rPr>
      </w:pPr>
    </w:p>
    <w:p w14:paraId="57FF93A8" w14:textId="77777777" w:rsidR="0063111A" w:rsidRDefault="0063111A" w:rsidP="00FF7B13">
      <w:pPr>
        <w:ind w:firstLine="0"/>
        <w:jc w:val="center"/>
      </w:pPr>
      <w:r>
        <w:t>Hye-Jin Park, Kendra Nip, and Jerrik Feliciano</w:t>
      </w:r>
    </w:p>
    <w:p w14:paraId="4D7E536F" w14:textId="2C3B8B4D" w:rsidR="00787BC3" w:rsidRDefault="0063111A" w:rsidP="00FF7B13">
      <w:pPr>
        <w:widowControl w:val="0"/>
        <w:spacing w:line="264" w:lineRule="auto"/>
        <w:ind w:firstLine="0"/>
        <w:jc w:val="center"/>
        <w:rPr>
          <w:highlight w:val="white"/>
        </w:rPr>
      </w:pPr>
      <w:r>
        <w:t xml:space="preserve">Center on Disability Studies, </w:t>
      </w:r>
      <w:r w:rsidR="00787BC3">
        <w:rPr>
          <w:highlight w:val="white"/>
        </w:rPr>
        <w:t xml:space="preserve">University of </w:t>
      </w:r>
      <w:r w:rsidR="00787BC3" w:rsidRPr="00787BC3">
        <w:rPr>
          <w:highlight w:val="white"/>
        </w:rPr>
        <w:t xml:space="preserve">Hawaiʻi at </w:t>
      </w:r>
      <w:r w:rsidR="00787BC3" w:rsidRPr="00787BC3">
        <w:rPr>
          <w:color w:val="222222"/>
          <w:shd w:val="clear" w:color="auto" w:fill="FFFFFF"/>
        </w:rPr>
        <w:t>Mānoa</w:t>
      </w:r>
    </w:p>
    <w:p w14:paraId="55A34A7D" w14:textId="77777777" w:rsidR="00787BC3" w:rsidRPr="00787BC3" w:rsidRDefault="00787BC3" w:rsidP="00787BC3">
      <w:pPr>
        <w:pStyle w:val="Style2"/>
        <w:jc w:val="left"/>
        <w:rPr>
          <w:b w:val="0"/>
          <w:bCs/>
        </w:rPr>
      </w:pPr>
    </w:p>
    <w:p w14:paraId="23102FD2" w14:textId="77777777" w:rsidR="00690715" w:rsidRDefault="00690715" w:rsidP="00690715">
      <w:pPr>
        <w:ind w:firstLine="0"/>
        <w:rPr>
          <w:rFonts w:eastAsia="BIZ UDPGothic"/>
          <w:b/>
          <w:bCs/>
        </w:rPr>
      </w:pPr>
    </w:p>
    <w:p w14:paraId="2919F9DB" w14:textId="77777777" w:rsidR="00690715" w:rsidRDefault="00690715" w:rsidP="00690715">
      <w:pPr>
        <w:ind w:firstLine="0"/>
        <w:rPr>
          <w:rFonts w:eastAsia="BIZ UDPGothic"/>
          <w:b/>
          <w:bCs/>
        </w:rPr>
      </w:pPr>
    </w:p>
    <w:p w14:paraId="77694799" w14:textId="77777777" w:rsidR="00690715" w:rsidRDefault="00690715" w:rsidP="00690715">
      <w:pPr>
        <w:ind w:firstLine="0"/>
        <w:rPr>
          <w:rFonts w:eastAsia="BIZ UDPGothic"/>
          <w:b/>
          <w:bCs/>
        </w:rPr>
      </w:pPr>
    </w:p>
    <w:p w14:paraId="41FDD73C" w14:textId="77777777" w:rsidR="00690715" w:rsidRDefault="00690715" w:rsidP="00690715">
      <w:pPr>
        <w:ind w:firstLine="0"/>
        <w:rPr>
          <w:rFonts w:eastAsia="BIZ UDPGothic"/>
          <w:b/>
          <w:bCs/>
        </w:rPr>
      </w:pPr>
    </w:p>
    <w:p w14:paraId="4E132AE6" w14:textId="77777777" w:rsidR="00690715" w:rsidRDefault="00690715" w:rsidP="00690715">
      <w:pPr>
        <w:ind w:firstLine="0"/>
        <w:rPr>
          <w:rFonts w:eastAsia="BIZ UDPGothic"/>
          <w:b/>
          <w:bCs/>
        </w:rPr>
      </w:pPr>
    </w:p>
    <w:p w14:paraId="14B1EEDC" w14:textId="77777777" w:rsidR="00690715" w:rsidRDefault="00690715" w:rsidP="00690715">
      <w:pPr>
        <w:ind w:firstLine="0"/>
        <w:rPr>
          <w:rFonts w:eastAsia="BIZ UDPGothic"/>
          <w:b/>
          <w:bCs/>
        </w:rPr>
      </w:pPr>
    </w:p>
    <w:p w14:paraId="2EAB15EC" w14:textId="77777777" w:rsidR="00787BC3" w:rsidRDefault="00787BC3" w:rsidP="0093183C">
      <w:pPr>
        <w:jc w:val="center"/>
        <w:rPr>
          <w:rFonts w:eastAsia="BIZ UDPGothic"/>
          <w:b/>
          <w:bCs/>
        </w:rPr>
      </w:pPr>
    </w:p>
    <w:p w14:paraId="2ADF7B66" w14:textId="0418946D" w:rsidR="0063111A" w:rsidRDefault="00F737B1" w:rsidP="00FF7B13">
      <w:pPr>
        <w:ind w:firstLine="0"/>
        <w:jc w:val="center"/>
        <w:rPr>
          <w:rFonts w:eastAsia="BIZ UDPGothic"/>
          <w:b/>
          <w:bCs/>
        </w:rPr>
      </w:pPr>
      <w:r>
        <w:rPr>
          <w:rFonts w:eastAsia="BIZ UDPGothic"/>
          <w:b/>
          <w:bCs/>
        </w:rPr>
        <w:t>Author Note</w:t>
      </w:r>
    </w:p>
    <w:p w14:paraId="17128334" w14:textId="77777777" w:rsidR="00F737B1" w:rsidRDefault="00F737B1" w:rsidP="00F737B1">
      <w:r>
        <w:t>This research was supported by the U.S. Department of Education Native Hawaiian Education Program Grants (Award Numbers: S3</w:t>
      </w:r>
      <w:r w:rsidRPr="009A2119">
        <w:t>62A200</w:t>
      </w:r>
      <w:r>
        <w:t xml:space="preserve">035 and </w:t>
      </w:r>
      <w:r w:rsidRPr="009A2119">
        <w:t>S362A210073</w:t>
      </w:r>
      <w:r>
        <w:t>).</w:t>
      </w:r>
    </w:p>
    <w:p w14:paraId="0F118617" w14:textId="77777777" w:rsidR="00F737B1" w:rsidRDefault="00F737B1" w:rsidP="0093183C">
      <w:pPr>
        <w:jc w:val="center"/>
        <w:rPr>
          <w:rFonts w:eastAsia="BIZ UDPGothic"/>
          <w:b/>
          <w:bCs/>
        </w:rPr>
      </w:pPr>
    </w:p>
    <w:p w14:paraId="0989E01B" w14:textId="77777777" w:rsidR="0063111A" w:rsidRDefault="0063111A" w:rsidP="0093183C">
      <w:pPr>
        <w:jc w:val="center"/>
        <w:rPr>
          <w:rFonts w:eastAsia="BIZ UDPGothic"/>
          <w:b/>
          <w:bCs/>
        </w:rPr>
      </w:pPr>
    </w:p>
    <w:p w14:paraId="547B6171" w14:textId="77777777" w:rsidR="0063111A" w:rsidRDefault="0063111A" w:rsidP="0093183C">
      <w:pPr>
        <w:jc w:val="center"/>
        <w:rPr>
          <w:rFonts w:eastAsia="BIZ UDPGothic"/>
          <w:b/>
          <w:bCs/>
        </w:rPr>
      </w:pPr>
    </w:p>
    <w:p w14:paraId="41C99910" w14:textId="77777777" w:rsidR="00787BC3" w:rsidRPr="00637079" w:rsidRDefault="00787BC3" w:rsidP="00690715">
      <w:pPr>
        <w:ind w:firstLine="0"/>
        <w:rPr>
          <w:rFonts w:eastAsia="BIZ UDPGothic"/>
        </w:rPr>
      </w:pPr>
    </w:p>
    <w:p w14:paraId="3766BC50" w14:textId="486F8816" w:rsidR="000F0C31" w:rsidRDefault="00C52EBA" w:rsidP="000F0C31">
      <w:pPr>
        <w:pStyle w:val="Style2"/>
      </w:pPr>
      <w:r w:rsidRPr="00E4497D">
        <w:t>Abstract</w:t>
      </w:r>
    </w:p>
    <w:p w14:paraId="4151209B" w14:textId="446E200C" w:rsidR="0063111A" w:rsidRDefault="0063111A" w:rsidP="0063111A">
      <w:pPr>
        <w:ind w:firstLine="0"/>
      </w:pPr>
      <w:r>
        <w:t xml:space="preserve">The Hōkūlani program is a strengths-based, work-based, and culturally responsive intervention designed to support Native Hawaiian high school students </w:t>
      </w:r>
      <w:r w:rsidR="001D0C1C">
        <w:t>entering</w:t>
      </w:r>
      <w:r>
        <w:t xml:space="preserve"> science, technology, engineering, and mathematics pathways. Among the five program components, this article will provide an overview of the work-based learning component of the Hōkūlani model intervention.</w:t>
      </w:r>
    </w:p>
    <w:p w14:paraId="605CAA41" w14:textId="77777777" w:rsidR="0063111A" w:rsidRDefault="0063111A" w:rsidP="0063111A">
      <w:r w:rsidRPr="00DF52D5">
        <w:rPr>
          <w:i/>
          <w:iCs/>
        </w:rPr>
        <w:t>Keywords:</w:t>
      </w:r>
      <w:r>
        <w:t xml:space="preserve"> work-based learning, STEM education, culturally responsive</w:t>
      </w:r>
    </w:p>
    <w:p w14:paraId="7F690A26" w14:textId="77777777" w:rsidR="00787BC3" w:rsidRPr="00645543" w:rsidRDefault="00787BC3" w:rsidP="000F0C31">
      <w:pPr>
        <w:pStyle w:val="Style2"/>
      </w:pPr>
    </w:p>
    <w:p w14:paraId="47626D22" w14:textId="77777777" w:rsidR="00787BC3" w:rsidRDefault="00787BC3" w:rsidP="007C2F9E">
      <w:pPr>
        <w:pStyle w:val="Style2"/>
      </w:pPr>
    </w:p>
    <w:p w14:paraId="256DBB27" w14:textId="77777777" w:rsidR="00787BC3" w:rsidRDefault="00787BC3" w:rsidP="007C2F9E">
      <w:pPr>
        <w:pStyle w:val="Style2"/>
      </w:pPr>
    </w:p>
    <w:p w14:paraId="220A8072" w14:textId="77777777" w:rsidR="00787BC3" w:rsidRDefault="00787BC3" w:rsidP="007C2F9E">
      <w:pPr>
        <w:pStyle w:val="Style2"/>
      </w:pPr>
    </w:p>
    <w:p w14:paraId="5C77989A" w14:textId="77777777" w:rsidR="00787BC3" w:rsidRDefault="00787BC3" w:rsidP="007C2F9E">
      <w:pPr>
        <w:pStyle w:val="Style2"/>
      </w:pPr>
    </w:p>
    <w:p w14:paraId="1A1F9AB6" w14:textId="77777777" w:rsidR="00787BC3" w:rsidRDefault="00787BC3" w:rsidP="007C2F9E">
      <w:pPr>
        <w:pStyle w:val="Style2"/>
      </w:pPr>
    </w:p>
    <w:p w14:paraId="69267E4A" w14:textId="77777777" w:rsidR="00787BC3" w:rsidRDefault="00787BC3" w:rsidP="00787BC3">
      <w:pPr>
        <w:widowControl w:val="0"/>
        <w:jc w:val="center"/>
        <w:rPr>
          <w:b/>
          <w:bCs/>
          <w:color w:val="000000" w:themeColor="text1"/>
        </w:rPr>
      </w:pPr>
    </w:p>
    <w:p w14:paraId="7DD63C12" w14:textId="77777777" w:rsidR="00787BC3" w:rsidRDefault="00787BC3" w:rsidP="00787BC3">
      <w:pPr>
        <w:widowControl w:val="0"/>
        <w:jc w:val="center"/>
        <w:rPr>
          <w:b/>
          <w:bCs/>
          <w:color w:val="000000" w:themeColor="text1"/>
        </w:rPr>
      </w:pPr>
    </w:p>
    <w:p w14:paraId="01D2594B" w14:textId="77777777" w:rsidR="00787BC3" w:rsidRDefault="00787BC3" w:rsidP="00787BC3">
      <w:pPr>
        <w:widowControl w:val="0"/>
        <w:jc w:val="center"/>
        <w:rPr>
          <w:b/>
          <w:bCs/>
          <w:color w:val="000000" w:themeColor="text1"/>
        </w:rPr>
      </w:pPr>
    </w:p>
    <w:p w14:paraId="1EB9DA04" w14:textId="77777777" w:rsidR="00787BC3" w:rsidRDefault="00787BC3" w:rsidP="00787BC3">
      <w:pPr>
        <w:widowControl w:val="0"/>
        <w:jc w:val="center"/>
        <w:rPr>
          <w:b/>
          <w:bCs/>
          <w:color w:val="000000" w:themeColor="text1"/>
        </w:rPr>
      </w:pPr>
    </w:p>
    <w:p w14:paraId="67B79944" w14:textId="77777777" w:rsidR="00787BC3" w:rsidRDefault="00787BC3" w:rsidP="00787BC3">
      <w:pPr>
        <w:widowControl w:val="0"/>
        <w:jc w:val="center"/>
        <w:rPr>
          <w:b/>
          <w:bCs/>
          <w:color w:val="000000" w:themeColor="text1"/>
        </w:rPr>
      </w:pPr>
    </w:p>
    <w:p w14:paraId="0057A654" w14:textId="77777777" w:rsidR="00787BC3" w:rsidRDefault="00787BC3" w:rsidP="00787BC3">
      <w:pPr>
        <w:widowControl w:val="0"/>
        <w:jc w:val="center"/>
        <w:rPr>
          <w:b/>
          <w:bCs/>
          <w:color w:val="000000" w:themeColor="text1"/>
        </w:rPr>
      </w:pPr>
    </w:p>
    <w:p w14:paraId="066FD5C8" w14:textId="77777777" w:rsidR="00787BC3" w:rsidRDefault="00787BC3" w:rsidP="00787BC3">
      <w:pPr>
        <w:widowControl w:val="0"/>
        <w:jc w:val="center"/>
        <w:rPr>
          <w:b/>
          <w:bCs/>
          <w:color w:val="000000" w:themeColor="text1"/>
        </w:rPr>
      </w:pPr>
    </w:p>
    <w:p w14:paraId="581863CC" w14:textId="77777777" w:rsidR="00787BC3" w:rsidRDefault="00787BC3" w:rsidP="00787BC3">
      <w:pPr>
        <w:widowControl w:val="0"/>
        <w:jc w:val="center"/>
        <w:rPr>
          <w:b/>
          <w:bCs/>
          <w:color w:val="000000" w:themeColor="text1"/>
        </w:rPr>
      </w:pPr>
    </w:p>
    <w:p w14:paraId="78B92C0B" w14:textId="77777777" w:rsidR="00787BC3" w:rsidRDefault="00787BC3" w:rsidP="00787BC3">
      <w:pPr>
        <w:widowControl w:val="0"/>
        <w:jc w:val="center"/>
        <w:rPr>
          <w:b/>
          <w:bCs/>
          <w:color w:val="000000" w:themeColor="text1"/>
        </w:rPr>
      </w:pPr>
    </w:p>
    <w:p w14:paraId="6FF8841D" w14:textId="77777777" w:rsidR="00787BC3" w:rsidRDefault="00787BC3" w:rsidP="00787BC3">
      <w:pPr>
        <w:widowControl w:val="0"/>
        <w:jc w:val="center"/>
        <w:rPr>
          <w:b/>
          <w:bCs/>
          <w:color w:val="000000" w:themeColor="text1"/>
        </w:rPr>
      </w:pPr>
    </w:p>
    <w:p w14:paraId="6386FB7E" w14:textId="77777777" w:rsidR="00787BC3" w:rsidRDefault="00787BC3" w:rsidP="00787BC3">
      <w:pPr>
        <w:widowControl w:val="0"/>
        <w:jc w:val="center"/>
        <w:rPr>
          <w:b/>
          <w:bCs/>
          <w:color w:val="000000" w:themeColor="text1"/>
        </w:rPr>
      </w:pPr>
    </w:p>
    <w:p w14:paraId="4AAE72F4" w14:textId="77777777" w:rsidR="0063111A" w:rsidRPr="00E47F7F" w:rsidRDefault="0063111A" w:rsidP="00FF7B13">
      <w:pPr>
        <w:ind w:firstLine="0"/>
        <w:jc w:val="center"/>
        <w:rPr>
          <w:b/>
        </w:rPr>
      </w:pPr>
      <w:r>
        <w:rPr>
          <w:b/>
        </w:rPr>
        <w:t>A Promising Intervention Model to Promote Postsecondary Transition and Career Development</w:t>
      </w:r>
    </w:p>
    <w:p w14:paraId="217CE125" w14:textId="398A1425" w:rsidR="0063111A" w:rsidRDefault="0063111A" w:rsidP="0063111A">
      <w:r>
        <w:t>Science, technology, engineering, and mathematics (STEM) play a major role in solving problems in today’s world. Recruiting talented people from diverse backgrounds into STEM fields is essential to ensure high-quality research and practice (</w:t>
      </w:r>
      <w:r>
        <w:rPr>
          <w:iCs/>
        </w:rPr>
        <w:t xml:space="preserve">DO-IT, </w:t>
      </w:r>
      <w:r>
        <w:t>2013)</w:t>
      </w:r>
      <w:r w:rsidR="005A5406">
        <w:t>.</w:t>
      </w:r>
      <w:r>
        <w:t xml:space="preserve"> </w:t>
      </w:r>
      <w:r w:rsidR="005A5406">
        <w:t xml:space="preserve">Working together with people </w:t>
      </w:r>
      <w:r>
        <w:t>from</w:t>
      </w:r>
      <w:r w:rsidR="005A5406">
        <w:t xml:space="preserve"> </w:t>
      </w:r>
      <w:r>
        <w:t xml:space="preserve">different backgrounds, experiences, </w:t>
      </w:r>
      <w:r w:rsidR="005A5406">
        <w:t xml:space="preserve">and disciplines in STEM fields and having varying </w:t>
      </w:r>
      <w:r>
        <w:t>cognitive abilities</w:t>
      </w:r>
      <w:r w:rsidR="005A5406">
        <w:t xml:space="preserve"> brings about a creative advantage</w:t>
      </w:r>
      <w:r>
        <w:t xml:space="preserve"> (Packard, 2016). </w:t>
      </w:r>
      <w:r w:rsidR="00DC3A1B">
        <w:t>T</w:t>
      </w:r>
      <w:r>
        <w:t>o diversify the STEM workforce, there is a need for high-quality STEM education for all Americans, particularly those who are underserved and underrepresented in STEM fields (National Science &amp; Technology Council, 2018).</w:t>
      </w:r>
    </w:p>
    <w:p w14:paraId="4ED60E80" w14:textId="5FA63702" w:rsidR="0063111A" w:rsidRDefault="0063111A" w:rsidP="0063111A">
      <w:r>
        <w:t xml:space="preserve">Although there is an obligation to draw on new talent sources to make the STEM workforce as strong and diverse as possible (Hossain &amp; Robinson, 2012), Native Hawaiians are significantly underrepresented in STEM fields (Kerr et al., 2018). According to the </w:t>
      </w:r>
      <w:r w:rsidR="003C2DAC">
        <w:t xml:space="preserve">2011 </w:t>
      </w:r>
      <w:r>
        <w:t>U.S. Census</w:t>
      </w:r>
      <w:r w:rsidR="003C2DAC">
        <w:t xml:space="preserve">, </w:t>
      </w:r>
      <w:r>
        <w:t xml:space="preserve">the combined population of Native Hawaiian, Pacific Islanders, and </w:t>
      </w:r>
      <w:r w:rsidR="003C2DAC">
        <w:t>“</w:t>
      </w:r>
      <w:r>
        <w:t>Other Race</w:t>
      </w:r>
      <w:r w:rsidR="003C2DAC">
        <w:t>”</w:t>
      </w:r>
      <w:r>
        <w:t xml:space="preserve"> accounted for 4.6% of the overall U.S. workforce but only 1.4% of the STEM workforce (Nguyen et al., 2016). Meanwhile, the STEM workforce will grow faster than any other sector (U.S. Bureau of Labor Statistics, 2017). In Hawaiʻi, STEM jobs will increase by an average of 11% from 2018 to 2028 (The Alliance for Science &amp; Technology Research in America, 2019).</w:t>
      </w:r>
    </w:p>
    <w:p w14:paraId="04F717F9" w14:textId="67031C0A" w:rsidR="0063111A" w:rsidRDefault="0063111A" w:rsidP="0063111A">
      <w:r>
        <w:t>To improve Native Hawaiian youth matriculation into STEM pathways, we developed and are evaluating the effectiveness of a strength</w:t>
      </w:r>
      <w:r w:rsidR="00D53558">
        <w:t>s</w:t>
      </w:r>
      <w:r>
        <w:t>-based, work-based</w:t>
      </w:r>
      <w:r w:rsidR="00D53558">
        <w:t>,</w:t>
      </w:r>
      <w:r>
        <w:t xml:space="preserve"> and culturally responsive intervention for indigenous high school students called the Hōkūlani model program. Our intervention consists of five components: (a) academic enrichment in science, </w:t>
      </w:r>
      <w:r>
        <w:lastRenderedPageBreak/>
        <w:t>(b) mentoring STEM interests and connection to Native Hawaiian cultural practices, (c) college transition supports, (d) family engagement, and (e) work-based learning. To date, our program has served 92 high school students across four major</w:t>
      </w:r>
      <w:r w:rsidR="00D53558">
        <w:t xml:space="preserve"> </w:t>
      </w:r>
      <w:r>
        <w:t xml:space="preserve">Hawaiian islands with the majority of students identifying as Native Hawaiian and first-generation college students (defined as </w:t>
      </w:r>
      <w:r w:rsidR="00D53558">
        <w:t xml:space="preserve">those whose </w:t>
      </w:r>
      <w:r>
        <w:t xml:space="preserve">parents/guardians have not completed a </w:t>
      </w:r>
      <w:r w:rsidR="00D53558">
        <w:t>four</w:t>
      </w:r>
      <w:r>
        <w:t>-year postsecondary degree program). In this article, we highlight the work-based learning component of our program.</w:t>
      </w:r>
    </w:p>
    <w:p w14:paraId="165F6C46" w14:textId="77777777" w:rsidR="0063111A" w:rsidRDefault="0063111A" w:rsidP="0063111A">
      <w:r>
        <w:t>Work-based learning allows students to acquire real-world research experience and further develop their career interests (Scott, 2012). It is an effective strategy to enhance students’ learning experiences in STEM fields and shape commitment to a STEM career pathway (Salto et al., 2014), especially for underrepresented students (Pender et al., 2010). For instance, the Meyerhoff Scholar Program at the University of Maryland, which pairs each student with a professional in the STEM field and provides summer internships to gain hands-on experience, is nationally renowned as a model for successfully supporting students from underrepresented groups into the fields of science and engineering (Pender et al., 2010).</w:t>
      </w:r>
    </w:p>
    <w:p w14:paraId="65C97179" w14:textId="4F5618B2" w:rsidR="0063111A" w:rsidRDefault="0063111A" w:rsidP="0063111A">
      <w:r>
        <w:t xml:space="preserve">In our work-based learning program, students complete summer internships at a local STEM worksite, individually or in small groups, while guided by a working STEM professional. Our STEM internship sites represent a wide range of STEM </w:t>
      </w:r>
      <w:r w:rsidR="001F1CAA">
        <w:t>fields,</w:t>
      </w:r>
      <w:r>
        <w:t xml:space="preserve"> including conservation and restoration, marine, health, computer and agricultural sciences, biology</w:t>
      </w:r>
      <w:r w:rsidR="001F1CAA">
        <w:t>,</w:t>
      </w:r>
      <w:r>
        <w:t xml:space="preserve"> and engineering. By providing a range of options, students </w:t>
      </w:r>
      <w:r w:rsidR="001F1CAA">
        <w:t>can</w:t>
      </w:r>
      <w:r>
        <w:t xml:space="preserve"> select an internship site based on their individual STEM interests. </w:t>
      </w:r>
    </w:p>
    <w:p w14:paraId="7C132A10" w14:textId="66BDDFD0" w:rsidR="0063111A" w:rsidRDefault="0063111A" w:rsidP="0063111A">
      <w:pPr>
        <w:rPr>
          <w:highlight w:val="yellow"/>
        </w:rPr>
      </w:pPr>
      <w:r>
        <w:t xml:space="preserve">Prior to </w:t>
      </w:r>
      <w:r w:rsidR="001F1CAA">
        <w:t xml:space="preserve">the </w:t>
      </w:r>
      <w:r>
        <w:t xml:space="preserve">summer, students complete a series of lessons designed to prepare them for their internship experience. During the preparation process, students meet and observe the STEM professional(s) who will mentor them throughout their internship and learn more </w:t>
      </w:r>
      <w:r>
        <w:lastRenderedPageBreak/>
        <w:t>about their responsibilities and the tasks they will complete at th</w:t>
      </w:r>
      <w:r w:rsidR="001F1CAA">
        <w:t>eir</w:t>
      </w:r>
      <w:r>
        <w:t xml:space="preserve"> work site. Students take inventory of prerequisite knowledge and skills that may be required to complete their assigned tasks and are supported to employ self-advocacy skills to share concerns or request workplace accommodations from their internship mentor. </w:t>
      </w:r>
    </w:p>
    <w:p w14:paraId="0641925D" w14:textId="7F869AAC" w:rsidR="0063111A" w:rsidRDefault="0063111A" w:rsidP="0063111A">
      <w:r>
        <w:t>At the culmination of their summer internship, students reflect on the tasks they accomplished—connecting their internship work to community improvement, as well as toward</w:t>
      </w:r>
      <w:r w:rsidR="001F1CAA">
        <w:t>s</w:t>
      </w:r>
      <w:r>
        <w:t xml:space="preserve"> reaching their academic and career STEM goals. In their reflections, 92% of students surveyed (</w:t>
      </w:r>
      <w:r>
        <w:rPr>
          <w:i/>
        </w:rPr>
        <w:t>n</w:t>
      </w:r>
      <w:r>
        <w:t xml:space="preserve"> = 85) felt their summer internship influenced their intention to </w:t>
      </w:r>
      <w:r w:rsidR="001F1CAA">
        <w:t>enter</w:t>
      </w:r>
      <w:r>
        <w:t xml:space="preserve"> a postsecondary STEM field. Parent/guardian perspectives mirrored the students</w:t>
      </w:r>
      <w:r w:rsidR="001F1CAA">
        <w:t>’ views</w:t>
      </w:r>
      <w:r>
        <w:t xml:space="preserve">. </w:t>
      </w:r>
      <w:r w:rsidR="001F1CAA">
        <w:t>Most</w:t>
      </w:r>
      <w:r>
        <w:t xml:space="preserve"> </w:t>
      </w:r>
      <w:r w:rsidR="001F1CAA">
        <w:t xml:space="preserve">of the </w:t>
      </w:r>
      <w:r>
        <w:t>parents/guardians surveyed (</w:t>
      </w:r>
      <w:r>
        <w:rPr>
          <w:i/>
        </w:rPr>
        <w:t>n</w:t>
      </w:r>
      <w:r>
        <w:t xml:space="preserve"> = 30) agreed that the summer internship helped their child</w:t>
      </w:r>
      <w:r w:rsidR="001F1CAA">
        <w:t xml:space="preserve"> or children</w:t>
      </w:r>
      <w:r>
        <w:t xml:space="preserve"> become more interested in enrolling in STEM</w:t>
      </w:r>
      <w:r w:rsidR="001F1CAA">
        <w:t>-</w:t>
      </w:r>
      <w:r>
        <w:t>related courses or activities, participating in early college or dual enrollment programs, matriculating to a postsecondary institution, and pursuing a STEM</w:t>
      </w:r>
      <w:r w:rsidR="001F1CAA">
        <w:t>-</w:t>
      </w:r>
      <w:r>
        <w:t>related career. These preliminary findings suggest that Hawaiʻi high school students are receptive to guided work-based learning opportunities and these experiences may further foster their STEM interests and intention to pursue STEM career fields after high school.</w:t>
      </w:r>
    </w:p>
    <w:p w14:paraId="32DE1914" w14:textId="77777777" w:rsidR="0063111A" w:rsidRDefault="0063111A" w:rsidP="0063111A">
      <w:r>
        <w:br w:type="page"/>
      </w:r>
    </w:p>
    <w:p w14:paraId="0D74F454" w14:textId="77777777" w:rsidR="0063111A" w:rsidRPr="00E276A1" w:rsidRDefault="0063111A" w:rsidP="0063111A">
      <w:pPr>
        <w:ind w:firstLine="0"/>
        <w:jc w:val="center"/>
        <w:rPr>
          <w:b/>
          <w:bCs/>
        </w:rPr>
      </w:pPr>
      <w:bookmarkStart w:id="0" w:name="_61mamk91ijyz" w:colFirst="0" w:colLast="0"/>
      <w:bookmarkEnd w:id="0"/>
      <w:r w:rsidRPr="00E276A1">
        <w:rPr>
          <w:b/>
          <w:bCs/>
        </w:rPr>
        <w:lastRenderedPageBreak/>
        <w:t>References</w:t>
      </w:r>
    </w:p>
    <w:p w14:paraId="57665DB5" w14:textId="77777777" w:rsidR="001D0C1C" w:rsidRPr="003A4BFE" w:rsidRDefault="001D0C1C" w:rsidP="001D0C1C">
      <w:pPr>
        <w:ind w:left="720" w:hanging="720"/>
        <w:rPr>
          <w:i/>
          <w:color w:val="222222"/>
          <w:highlight w:val="white"/>
        </w:rPr>
      </w:pPr>
      <w:r>
        <w:rPr>
          <w:color w:val="222222"/>
          <w:highlight w:val="white"/>
        </w:rPr>
        <w:t xml:space="preserve">The Alliance for Science &amp; Technology Research in America. (2019). </w:t>
      </w:r>
      <w:r>
        <w:rPr>
          <w:i/>
          <w:color w:val="222222"/>
          <w:highlight w:val="white"/>
        </w:rPr>
        <w:t xml:space="preserve">Hawaii’s 2019 STEM &amp; innovation report card. </w:t>
      </w:r>
      <w:hyperlink r:id="rId8">
        <w:r>
          <w:rPr>
            <w:color w:val="0563C1"/>
            <w:u w:val="single"/>
          </w:rPr>
          <w:t>https://www.usinnovation.org</w:t>
        </w:r>
      </w:hyperlink>
    </w:p>
    <w:p w14:paraId="5ACDE8BF" w14:textId="7656F4AC" w:rsidR="0063111A" w:rsidRPr="00634CF1" w:rsidRDefault="0063111A" w:rsidP="003A4BFE">
      <w:pPr>
        <w:ind w:left="720" w:hanging="720"/>
        <w:rPr>
          <w:i/>
        </w:rPr>
      </w:pPr>
      <w:r>
        <w:rPr>
          <w:iCs/>
        </w:rPr>
        <w:t xml:space="preserve">DO-IT. (2013). </w:t>
      </w:r>
      <w:r>
        <w:rPr>
          <w:i/>
        </w:rPr>
        <w:t xml:space="preserve">Increasing the participation of students with disabilities in science, technology, engineering, and mathematics: Lessons learned and resources from NSF's RDE project. </w:t>
      </w:r>
      <w:r>
        <w:rPr>
          <w:iCs/>
        </w:rPr>
        <w:t xml:space="preserve">University of Washington. </w:t>
      </w:r>
      <w:hyperlink r:id="rId9">
        <w:r>
          <w:rPr>
            <w:color w:val="0563C1"/>
            <w:u w:val="single"/>
          </w:rPr>
          <w:t>https://www.washington.edu/doit/increasing-participation-students-disabilities-science-technology-engineering-and-mathematics</w:t>
        </w:r>
      </w:hyperlink>
    </w:p>
    <w:p w14:paraId="0979FAF6" w14:textId="54C71714" w:rsidR="0063111A" w:rsidRDefault="0063111A" w:rsidP="003A4BFE">
      <w:pPr>
        <w:ind w:left="720" w:hanging="720"/>
        <w:rPr>
          <w:sz w:val="26"/>
          <w:szCs w:val="26"/>
        </w:rPr>
      </w:pPr>
      <w:r>
        <w:t xml:space="preserve">Hossain, M. M., &amp; Robinson, M. G. (2012, February). </w:t>
      </w:r>
      <w:r w:rsidRPr="00651969">
        <w:rPr>
          <w:iCs/>
        </w:rPr>
        <w:t xml:space="preserve">How to </w:t>
      </w:r>
      <w:r w:rsidR="005D2C9C" w:rsidRPr="00651969">
        <w:rPr>
          <w:iCs/>
        </w:rPr>
        <w:t>i</w:t>
      </w:r>
      <w:r w:rsidRPr="00651969">
        <w:rPr>
          <w:iCs/>
        </w:rPr>
        <w:t>ncrease American</w:t>
      </w:r>
      <w:r w:rsidR="005D2C9C" w:rsidRPr="00651969">
        <w:rPr>
          <w:iCs/>
        </w:rPr>
        <w:t>s s</w:t>
      </w:r>
      <w:r w:rsidRPr="00651969">
        <w:rPr>
          <w:iCs/>
        </w:rPr>
        <w:t xml:space="preserve">tudents’ </w:t>
      </w:r>
      <w:r w:rsidR="005D2C9C" w:rsidRPr="00651969">
        <w:rPr>
          <w:iCs/>
        </w:rPr>
        <w:t>p</w:t>
      </w:r>
      <w:r w:rsidRPr="00651969">
        <w:rPr>
          <w:iCs/>
        </w:rPr>
        <w:t xml:space="preserve">articipation </w:t>
      </w:r>
      <w:r w:rsidR="005D2C9C" w:rsidRPr="00651969">
        <w:rPr>
          <w:iCs/>
        </w:rPr>
        <w:t>r</w:t>
      </w:r>
      <w:r w:rsidRPr="00651969">
        <w:rPr>
          <w:iCs/>
        </w:rPr>
        <w:t xml:space="preserve">ate in STEM </w:t>
      </w:r>
      <w:r w:rsidR="005D2C9C" w:rsidRPr="00651969">
        <w:rPr>
          <w:iCs/>
        </w:rPr>
        <w:t>c</w:t>
      </w:r>
      <w:r w:rsidRPr="00651969">
        <w:rPr>
          <w:iCs/>
        </w:rPr>
        <w:t xml:space="preserve">areers. </w:t>
      </w:r>
      <w:r>
        <w:t xml:space="preserve">In </w:t>
      </w:r>
      <w:r>
        <w:rPr>
          <w:i/>
        </w:rPr>
        <w:t>Global TIME</w:t>
      </w:r>
      <w:r>
        <w:t xml:space="preserve"> (pp. 57-61). Association for the Advancement of Computing in Education (AACE). </w:t>
      </w:r>
    </w:p>
    <w:p w14:paraId="5BF9E93C" w14:textId="23D84940" w:rsidR="0063111A" w:rsidRDefault="0063111A" w:rsidP="003A4BFE">
      <w:pPr>
        <w:ind w:left="720" w:hanging="720"/>
      </w:pPr>
      <w:r>
        <w:t xml:space="preserve">Kerr, J. Q., Hess, D. J., Smith, C. M., &amp; Hadfield, M. G. (2018). Recognizing and reducing barriers to science and math education and STEM careers for Native Hawaiians and Pacific Islanders. </w:t>
      </w:r>
      <w:r>
        <w:rPr>
          <w:i/>
        </w:rPr>
        <w:t>CBE</w:t>
      </w:r>
      <w:r w:rsidR="00651969">
        <w:rPr>
          <w:i/>
        </w:rPr>
        <w:t>—L</w:t>
      </w:r>
      <w:r>
        <w:rPr>
          <w:i/>
        </w:rPr>
        <w:t xml:space="preserve">ife </w:t>
      </w:r>
      <w:r w:rsidR="00651969">
        <w:rPr>
          <w:i/>
        </w:rPr>
        <w:t>S</w:t>
      </w:r>
      <w:r>
        <w:rPr>
          <w:i/>
        </w:rPr>
        <w:t xml:space="preserve">ciences </w:t>
      </w:r>
      <w:r w:rsidR="00651969">
        <w:rPr>
          <w:i/>
        </w:rPr>
        <w:t>E</w:t>
      </w:r>
      <w:r>
        <w:rPr>
          <w:i/>
        </w:rPr>
        <w:t>ducation</w:t>
      </w:r>
      <w:r>
        <w:t xml:space="preserve">, </w:t>
      </w:r>
      <w:r>
        <w:rPr>
          <w:i/>
        </w:rPr>
        <w:t>17</w:t>
      </w:r>
      <w:r>
        <w:t xml:space="preserve">(4), mr1. </w:t>
      </w:r>
      <w:hyperlink r:id="rId10" w:history="1">
        <w:r w:rsidRPr="00ED5D30">
          <w:rPr>
            <w:rStyle w:val="Hyperlink"/>
          </w:rPr>
          <w:t>https://doi.org/10.1187/cbe.18-06-0091</w:t>
        </w:r>
      </w:hyperlink>
    </w:p>
    <w:p w14:paraId="40971B3D" w14:textId="62649F26" w:rsidR="0063111A" w:rsidRDefault="0063111A" w:rsidP="003A4BFE">
      <w:pPr>
        <w:ind w:left="720" w:hanging="720"/>
      </w:pPr>
      <w:r>
        <w:t xml:space="preserve">National Science &amp; Technology Council, Committee on STEM Education (2018, December). </w:t>
      </w:r>
      <w:r>
        <w:rPr>
          <w:i/>
        </w:rPr>
        <w:t>Charting a course for success: America’s strategy for STEM Education</w:t>
      </w:r>
      <w:r>
        <w:t xml:space="preserve">. National Science and Technology Council. </w:t>
      </w:r>
      <w:hyperlink r:id="rId11">
        <w:r>
          <w:rPr>
            <w:color w:val="1155CC"/>
            <w:u w:val="single"/>
          </w:rPr>
          <w:t>https://www.energy.gov/sites/default/files/2019/05/f62/STEM-Education-Strategic-Plan-2018.pdf</w:t>
        </w:r>
      </w:hyperlink>
      <w:bookmarkStart w:id="1" w:name="_by1yhgf1qxoe" w:colFirst="0" w:colLast="0"/>
      <w:bookmarkEnd w:id="1"/>
    </w:p>
    <w:p w14:paraId="2042EB52" w14:textId="7E439A3E" w:rsidR="0063111A" w:rsidRDefault="0063111A" w:rsidP="003A4BFE">
      <w:pPr>
        <w:ind w:left="720" w:hanging="720"/>
      </w:pPr>
      <w:r>
        <w:t>Nguyen, T.</w:t>
      </w:r>
      <w:r w:rsidR="003C2DAC">
        <w:t xml:space="preserve"> </w:t>
      </w:r>
      <w:r>
        <w:t>T.</w:t>
      </w:r>
      <w:r w:rsidR="003C2DAC">
        <w:t xml:space="preserve"> </w:t>
      </w:r>
      <w:r>
        <w:t>T., Francis. O.</w:t>
      </w:r>
      <w:r w:rsidR="003C2DAC">
        <w:t xml:space="preserve"> </w:t>
      </w:r>
      <w:r>
        <w:t>P., Miller,</w:t>
      </w:r>
      <w:r w:rsidR="003C2DAC">
        <w:t xml:space="preserve"> </w:t>
      </w:r>
      <w:r>
        <w:t>S.</w:t>
      </w:r>
      <w:r w:rsidR="003C2DAC">
        <w:t xml:space="preserve"> </w:t>
      </w:r>
      <w:r>
        <w:t>F., Kuehu, D.</w:t>
      </w:r>
      <w:r w:rsidR="003C2DAC">
        <w:t>,</w:t>
      </w:r>
      <w:r>
        <w:t xml:space="preserve"> McLean, K., Irvine, J.</w:t>
      </w:r>
      <w:r w:rsidR="003C2DAC">
        <w:t xml:space="preserve"> </w:t>
      </w:r>
      <w:r>
        <w:t>L., Izawa, N.</w:t>
      </w:r>
      <w:r w:rsidR="003C2DAC">
        <w:t xml:space="preserve"> </w:t>
      </w:r>
      <w:r>
        <w:t xml:space="preserve">R., &amp; Iwamoto, M. (2016). </w:t>
      </w:r>
      <w:r>
        <w:rPr>
          <w:i/>
        </w:rPr>
        <w:t xml:space="preserve">Native Hawaiians in </w:t>
      </w:r>
      <w:r w:rsidR="003C2DAC">
        <w:rPr>
          <w:i/>
        </w:rPr>
        <w:t>e</w:t>
      </w:r>
      <w:r>
        <w:rPr>
          <w:i/>
        </w:rPr>
        <w:t xml:space="preserve">ngineering: A </w:t>
      </w:r>
      <w:r w:rsidR="003C2DAC">
        <w:rPr>
          <w:i/>
        </w:rPr>
        <w:t>p</w:t>
      </w:r>
      <w:r>
        <w:rPr>
          <w:i/>
        </w:rPr>
        <w:t xml:space="preserve">ath to the </w:t>
      </w:r>
      <w:r w:rsidR="003C2DAC">
        <w:rPr>
          <w:i/>
        </w:rPr>
        <w:t>p</w:t>
      </w:r>
      <w:r>
        <w:rPr>
          <w:i/>
        </w:rPr>
        <w:t>rofessoriate</w:t>
      </w:r>
      <w:r>
        <w:t xml:space="preserve">. American Society for Engineering Education (ASEE) Annual Conference &amp; Exposition, Utah. </w:t>
      </w:r>
      <w:hyperlink r:id="rId12" w:history="1">
        <w:r w:rsidRPr="00ED5D30">
          <w:rPr>
            <w:rStyle w:val="Hyperlink"/>
          </w:rPr>
          <w:t>https://doi.org/10.18260/1-2--30832</w:t>
        </w:r>
      </w:hyperlink>
    </w:p>
    <w:p w14:paraId="3CCA8B75" w14:textId="53614148" w:rsidR="0063111A" w:rsidRPr="00F74F2E" w:rsidRDefault="0063111A" w:rsidP="003A4BFE">
      <w:pPr>
        <w:ind w:left="720" w:hanging="720"/>
        <w:rPr>
          <w:i/>
        </w:rPr>
      </w:pPr>
      <w:r>
        <w:lastRenderedPageBreak/>
        <w:t xml:space="preserve">Packard, B.W.L. (2016). </w:t>
      </w:r>
      <w:r>
        <w:rPr>
          <w:i/>
        </w:rPr>
        <w:t>Successful STEM mentoring initiatives for underrepresented students; A research-based guide for faculty and administrators</w:t>
      </w:r>
      <w:r>
        <w:t xml:space="preserve">. Stylus Publishing, LLC. </w:t>
      </w:r>
      <w:hyperlink r:id="rId13" w:history="1">
        <w:r w:rsidRPr="00ED5D30">
          <w:rPr>
            <w:rStyle w:val="Hyperlink"/>
          </w:rPr>
          <w:t>https://doi.org/10.4324/9781003447245</w:t>
        </w:r>
      </w:hyperlink>
    </w:p>
    <w:p w14:paraId="4154E0BE" w14:textId="77777777" w:rsidR="0063111A" w:rsidRDefault="0063111A" w:rsidP="003A4BFE">
      <w:pPr>
        <w:ind w:left="720" w:hanging="720"/>
        <w:rPr>
          <w:color w:val="222222"/>
          <w:highlight w:val="white"/>
        </w:rPr>
      </w:pPr>
      <w:r>
        <w:rPr>
          <w:color w:val="222222"/>
          <w:highlight w:val="white"/>
        </w:rPr>
        <w:t xml:space="preserve">Pender, M., Marcotte, D. E., Domingo, M. R. S., &amp; Maton, K. I. (2010). The STEM pipeline: </w:t>
      </w:r>
    </w:p>
    <w:p w14:paraId="703EBFAC" w14:textId="77777777" w:rsidR="0063111A" w:rsidRDefault="0063111A" w:rsidP="001D0C1C">
      <w:pPr>
        <w:ind w:left="720" w:firstLine="0"/>
        <w:rPr>
          <w:color w:val="222222"/>
          <w:sz w:val="26"/>
          <w:szCs w:val="26"/>
          <w:highlight w:val="white"/>
        </w:rPr>
      </w:pPr>
      <w:r>
        <w:rPr>
          <w:color w:val="222222"/>
          <w:highlight w:val="white"/>
        </w:rPr>
        <w:t xml:space="preserve">The role of summer research experience in minority students' Ph. D. aspirations. </w:t>
      </w:r>
      <w:r>
        <w:rPr>
          <w:i/>
          <w:color w:val="222222"/>
          <w:highlight w:val="white"/>
        </w:rPr>
        <w:t>Education Policy Analysis Archives</w:t>
      </w:r>
      <w:r>
        <w:rPr>
          <w:color w:val="222222"/>
          <w:highlight w:val="white"/>
        </w:rPr>
        <w:t xml:space="preserve">, </w:t>
      </w:r>
      <w:r>
        <w:rPr>
          <w:i/>
          <w:color w:val="222222"/>
          <w:highlight w:val="white"/>
        </w:rPr>
        <w:t>18</w:t>
      </w:r>
      <w:r>
        <w:rPr>
          <w:color w:val="222222"/>
          <w:highlight w:val="white"/>
        </w:rPr>
        <w:t>(30), 1.</w:t>
      </w:r>
      <w:r>
        <w:rPr>
          <w:color w:val="222222"/>
          <w:sz w:val="26"/>
          <w:szCs w:val="26"/>
        </w:rPr>
        <w:t xml:space="preserve"> </w:t>
      </w:r>
      <w:hyperlink r:id="rId14" w:history="1">
        <w:r w:rsidRPr="00ED5D30">
          <w:rPr>
            <w:rStyle w:val="Hyperlink"/>
          </w:rPr>
          <w:t>https://doi.org/10.14507/epaa.v18n30.2010</w:t>
        </w:r>
      </w:hyperlink>
    </w:p>
    <w:p w14:paraId="324C23D8" w14:textId="77777777" w:rsidR="0063111A" w:rsidRDefault="0063111A" w:rsidP="003A4BFE">
      <w:pPr>
        <w:ind w:left="720" w:hanging="720"/>
        <w:rPr>
          <w:color w:val="222222"/>
          <w:highlight w:val="white"/>
        </w:rPr>
      </w:pPr>
      <w:r>
        <w:rPr>
          <w:color w:val="222222"/>
          <w:highlight w:val="white"/>
        </w:rPr>
        <w:t xml:space="preserve">Salto, L. M., Riggs, M. L., De Leon, D. D., Casiano, C. A., &amp; De Leon, M. (2014). </w:t>
      </w:r>
    </w:p>
    <w:p w14:paraId="2E07E0C6" w14:textId="77777777" w:rsidR="0063111A" w:rsidRDefault="0063111A" w:rsidP="001D0C1C">
      <w:pPr>
        <w:ind w:left="720" w:firstLine="0"/>
        <w:rPr>
          <w:color w:val="222222"/>
          <w:highlight w:val="white"/>
        </w:rPr>
      </w:pPr>
      <w:r>
        <w:rPr>
          <w:color w:val="222222"/>
          <w:highlight w:val="white"/>
        </w:rPr>
        <w:t xml:space="preserve">Underrepresented minority high school and college students report STEM-pipeline sustaining gains after participating in the Loma Linda University summer health disparities research program. </w:t>
      </w:r>
      <w:r>
        <w:rPr>
          <w:i/>
          <w:color w:val="222222"/>
          <w:highlight w:val="white"/>
        </w:rPr>
        <w:t>PloS one</w:t>
      </w:r>
      <w:r>
        <w:rPr>
          <w:color w:val="222222"/>
          <w:highlight w:val="white"/>
        </w:rPr>
        <w:t xml:space="preserve">, </w:t>
      </w:r>
      <w:r>
        <w:rPr>
          <w:i/>
          <w:color w:val="222222"/>
          <w:highlight w:val="white"/>
        </w:rPr>
        <w:t>9</w:t>
      </w:r>
      <w:r>
        <w:rPr>
          <w:color w:val="222222"/>
          <w:highlight w:val="white"/>
        </w:rPr>
        <w:t xml:space="preserve">(9). </w:t>
      </w:r>
      <w:hyperlink r:id="rId15" w:history="1">
        <w:r w:rsidRPr="00ED5D30">
          <w:rPr>
            <w:rStyle w:val="Hyperlink"/>
          </w:rPr>
          <w:t>https://doi.org/10.1371/journal.pone.0108497</w:t>
        </w:r>
      </w:hyperlink>
    </w:p>
    <w:p w14:paraId="7F46D475" w14:textId="77777777" w:rsidR="0063111A" w:rsidRDefault="0063111A" w:rsidP="003A4BFE">
      <w:pPr>
        <w:ind w:left="720" w:hanging="720"/>
        <w:rPr>
          <w:color w:val="222222"/>
          <w:highlight w:val="white"/>
        </w:rPr>
      </w:pPr>
      <w:r>
        <w:rPr>
          <w:color w:val="222222"/>
          <w:highlight w:val="white"/>
        </w:rPr>
        <w:t xml:space="preserve">Scott, C. E. (2012). An investigation of science, technology, engineering and mathematics </w:t>
      </w:r>
    </w:p>
    <w:p w14:paraId="5B51861C" w14:textId="6D222B30" w:rsidR="0063111A" w:rsidRDefault="003A4BFE" w:rsidP="001D0C1C">
      <w:pPr>
        <w:ind w:left="720" w:firstLine="0"/>
        <w:rPr>
          <w:color w:val="222222"/>
          <w:highlight w:val="white"/>
        </w:rPr>
      </w:pPr>
      <w:r>
        <w:rPr>
          <w:color w:val="222222"/>
          <w:highlight w:val="white"/>
        </w:rPr>
        <w:t>(</w:t>
      </w:r>
      <w:r w:rsidR="0063111A">
        <w:rPr>
          <w:color w:val="222222"/>
          <w:highlight w:val="white"/>
        </w:rPr>
        <w:t xml:space="preserve">STEM) focused high schools in the U.S. </w:t>
      </w:r>
      <w:r w:rsidR="0063111A">
        <w:rPr>
          <w:i/>
          <w:color w:val="222222"/>
          <w:highlight w:val="white"/>
        </w:rPr>
        <w:t>Journal of STEM Education: Innovations and Research</w:t>
      </w:r>
      <w:r w:rsidR="0063111A">
        <w:rPr>
          <w:color w:val="222222"/>
          <w:highlight w:val="white"/>
        </w:rPr>
        <w:t xml:space="preserve">, </w:t>
      </w:r>
      <w:r w:rsidR="0063111A">
        <w:rPr>
          <w:i/>
          <w:color w:val="222222"/>
          <w:highlight w:val="white"/>
        </w:rPr>
        <w:t>13</w:t>
      </w:r>
      <w:r w:rsidR="0063111A">
        <w:rPr>
          <w:color w:val="222222"/>
          <w:highlight w:val="white"/>
        </w:rPr>
        <w:t xml:space="preserve">(5). </w:t>
      </w:r>
      <w:hyperlink r:id="rId16" w:history="1">
        <w:r w:rsidR="0063111A" w:rsidRPr="00ED5D30">
          <w:rPr>
            <w:rStyle w:val="Hyperlink"/>
            <w:highlight w:val="white"/>
          </w:rPr>
          <w:t>https://www.jstem.org/jstem/index.php/JSTEM/article/view/1629/1493</w:t>
        </w:r>
      </w:hyperlink>
    </w:p>
    <w:p w14:paraId="15EC3B2F" w14:textId="77777777" w:rsidR="0063111A" w:rsidRDefault="0063111A" w:rsidP="003A4BFE">
      <w:pPr>
        <w:ind w:left="720" w:hanging="720"/>
      </w:pPr>
      <w:r>
        <w:t xml:space="preserve">U.S Bureau of Labor Statistics. (2017). </w:t>
      </w:r>
      <w:r>
        <w:rPr>
          <w:i/>
        </w:rPr>
        <w:t>STEM occupations: Past, present, and future.</w:t>
      </w:r>
      <w:r>
        <w:t xml:space="preserve"> </w:t>
      </w:r>
    </w:p>
    <w:p w14:paraId="22A74933" w14:textId="77777777" w:rsidR="0063111A" w:rsidRDefault="0063111A" w:rsidP="003A4BFE">
      <w:pPr>
        <w:ind w:left="720" w:hanging="720"/>
      </w:pPr>
      <w:hyperlink r:id="rId17" w:history="1">
        <w:r w:rsidRPr="00ED5D30">
          <w:rPr>
            <w:rStyle w:val="Hyperlink"/>
          </w:rPr>
          <w:t>https://data.bls.gov/</w:t>
        </w:r>
      </w:hyperlink>
    </w:p>
    <w:p w14:paraId="7586382B" w14:textId="77777777" w:rsidR="00690715" w:rsidRDefault="00690715" w:rsidP="003A4BFE">
      <w:pPr>
        <w:ind w:left="720" w:hanging="720"/>
      </w:pPr>
    </w:p>
    <w:p w14:paraId="795AB9CB" w14:textId="77777777" w:rsidR="00690715" w:rsidRDefault="00690715" w:rsidP="000061DF">
      <w:pPr>
        <w:ind w:hanging="720"/>
      </w:pPr>
    </w:p>
    <w:p w14:paraId="563E6ABF" w14:textId="3D2F713D" w:rsidR="00863CA9" w:rsidRPr="001D0C1C" w:rsidRDefault="0065223C" w:rsidP="001D0C1C">
      <w:pPr>
        <w:ind w:firstLine="0"/>
        <w:rPr>
          <w:b/>
        </w:rPr>
      </w:pPr>
      <w:r w:rsidRPr="00E726E0">
        <w:rPr>
          <w:noProof/>
        </w:rPr>
        <w:drawing>
          <wp:inline distT="0" distB="0" distL="0" distR="0" wp14:anchorId="74FA928F" wp14:editId="4BD5653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761660" cy="141605"/>
                    </a:xfrm>
                    <a:prstGeom prst="rect">
                      <a:avLst/>
                    </a:prstGeom>
                  </pic:spPr>
                </pic:pic>
              </a:graphicData>
            </a:graphic>
          </wp:inline>
        </w:drawing>
      </w:r>
      <w:r w:rsidRPr="00E726E0">
        <w:rPr>
          <w:sz w:val="20"/>
        </w:rPr>
        <w:t xml:space="preserve"> </w:t>
      </w:r>
      <w:r w:rsidR="001D0C1C">
        <w:rPr>
          <w:b/>
        </w:rPr>
        <w:t xml:space="preserve">A Promising Intervention Model to Promote Postsecondary Transition and Career Development </w:t>
      </w:r>
      <w:r w:rsidRPr="00C4214F">
        <w:rPr>
          <w:bCs/>
        </w:rPr>
        <w:t>by</w:t>
      </w:r>
      <w:r w:rsidR="00690715" w:rsidRPr="00690715">
        <w:rPr>
          <w:highlight w:val="white"/>
        </w:rPr>
        <w:t xml:space="preserve"> </w:t>
      </w:r>
      <w:r w:rsidR="00690715">
        <w:rPr>
          <w:highlight w:val="white"/>
        </w:rPr>
        <w:t>Hye</w:t>
      </w:r>
      <w:r w:rsidR="001D0C1C">
        <w:rPr>
          <w:highlight w:val="white"/>
        </w:rPr>
        <w:t>-</w:t>
      </w:r>
      <w:r w:rsidR="00690715">
        <w:rPr>
          <w:highlight w:val="white"/>
        </w:rPr>
        <w:t>Jin Park</w:t>
      </w:r>
      <w:r w:rsidR="001D0C1C">
        <w:t>, Kendra Nip,</w:t>
      </w:r>
      <w:r w:rsidR="00690715">
        <w:t xml:space="preserve"> and </w:t>
      </w:r>
      <w:r w:rsidR="001D0C1C">
        <w:rPr>
          <w:color w:val="1F1F1F"/>
        </w:rPr>
        <w:t>Jerrik Feliciano</w:t>
      </w:r>
      <w:r w:rsidR="0007007D">
        <w:rPr>
          <w:rFonts w:eastAsia="BIZ UDPGothic"/>
          <w:bCs/>
          <w:color w:val="000000" w:themeColor="text1"/>
        </w:rPr>
        <w:t xml:space="preserve">. </w:t>
      </w:r>
      <w:hyperlink r:id="rId19" w:history="1">
        <w:r w:rsidR="001D0C1C" w:rsidRPr="001D0C1C">
          <w:rPr>
            <w:rStyle w:val="Hyperlink"/>
            <w:rFonts w:eastAsia="BIZ UDPGothic"/>
            <w:bCs/>
          </w:rPr>
          <w:t>https://rdsjournal.org/index.php/journal/article/view/1356</w:t>
        </w:r>
      </w:hyperlink>
      <w:r w:rsidR="001D0C1C">
        <w:rPr>
          <w:rFonts w:eastAsia="BIZ UDPGothic"/>
          <w:bCs/>
          <w:color w:val="000000" w:themeColor="text1"/>
        </w:rPr>
        <w:t xml:space="preserve"> </w:t>
      </w:r>
      <w:r w:rsidRPr="00C4214F">
        <w:rPr>
          <w:bCs/>
        </w:rPr>
        <w:t>is</w:t>
      </w:r>
      <w:r w:rsidRPr="00C4214F">
        <w:rPr>
          <w:bCs/>
          <w:spacing w:val="-11"/>
        </w:rPr>
        <w:t xml:space="preserve"> </w:t>
      </w:r>
      <w:r w:rsidRPr="00C4214F">
        <w:rPr>
          <w:bCs/>
        </w:rPr>
        <w:t>licensed</w:t>
      </w:r>
      <w:r w:rsidRPr="00C4214F">
        <w:rPr>
          <w:bCs/>
          <w:spacing w:val="-11"/>
        </w:rPr>
        <w:t xml:space="preserve"> </w:t>
      </w:r>
      <w:r w:rsidRPr="00C4214F">
        <w:rPr>
          <w:bCs/>
        </w:rPr>
        <w:t>under</w:t>
      </w:r>
      <w:r w:rsidRPr="00C4214F">
        <w:rPr>
          <w:bCs/>
          <w:spacing w:val="-12"/>
        </w:rPr>
        <w:t xml:space="preserve"> </w:t>
      </w:r>
      <w:r w:rsidRPr="00C4214F">
        <w:rPr>
          <w:bCs/>
        </w:rPr>
        <w:t xml:space="preserve">a </w:t>
      </w:r>
      <w:hyperlink r:id="rId20" w:history="1">
        <w:r w:rsidRPr="00E55C47">
          <w:rPr>
            <w:rStyle w:val="Hyperlink"/>
            <w:bCs/>
          </w:rPr>
          <w:t>Creative Commons Attribution 4.0 International License</w:t>
        </w:r>
      </w:hyperlink>
      <w:r w:rsidRPr="00C4214F">
        <w:rPr>
          <w:bCs/>
        </w:rPr>
        <w:t xml:space="preserve">. Based on a work at </w:t>
      </w:r>
      <w:hyperlink r:id="rId21" w:history="1">
        <w:r w:rsidRPr="00E55C47">
          <w:rPr>
            <w:rStyle w:val="Hyperlink"/>
            <w:bCs/>
            <w:spacing w:val="-2"/>
          </w:rPr>
          <w:t>https://rdsjournal</w:t>
        </w:r>
        <w:r w:rsidR="00E55C47" w:rsidRPr="00E55C47">
          <w:rPr>
            <w:rStyle w:val="Hyperlink"/>
            <w:lang w:val="haw-US"/>
          </w:rPr>
          <w:t>.org</w:t>
        </w:r>
      </w:hyperlink>
      <w:r w:rsidR="00E55C47">
        <w:rPr>
          <w:color w:val="0000FF" w:themeColor="hyperlink"/>
          <w:u w:val="single"/>
          <w:lang w:val="haw-US"/>
        </w:rPr>
        <w:t>.</w:t>
      </w:r>
    </w:p>
    <w:sectPr w:rsidR="00863CA9" w:rsidRPr="001D0C1C" w:rsidSect="00D1539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61C24" w14:textId="77777777" w:rsidR="00BD0ECD" w:rsidRDefault="00BD0ECD">
      <w:pPr>
        <w:spacing w:line="240" w:lineRule="auto"/>
      </w:pPr>
      <w:r>
        <w:separator/>
      </w:r>
    </w:p>
  </w:endnote>
  <w:endnote w:type="continuationSeparator" w:id="0">
    <w:p w14:paraId="242D3D56" w14:textId="77777777" w:rsidR="00BD0ECD" w:rsidRDefault="00BD0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F7647" w14:textId="77777777" w:rsidR="00BD0ECD" w:rsidRDefault="00BD0ECD">
      <w:pPr>
        <w:spacing w:line="240" w:lineRule="auto"/>
      </w:pPr>
      <w:r>
        <w:separator/>
      </w:r>
    </w:p>
  </w:footnote>
  <w:footnote w:type="continuationSeparator" w:id="0">
    <w:p w14:paraId="4166A0B0" w14:textId="77777777" w:rsidR="00BD0ECD" w:rsidRDefault="00BD0E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5B1C125" w14:textId="2A44C451"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3183C">
            <w:rPr>
              <w:rFonts w:ascii="Arial" w:eastAsia="Arial" w:hAnsi="Arial" w:cs="Arial"/>
              <w:b/>
              <w:color w:val="FFFFFF"/>
            </w:rPr>
            <w:t>1</w:t>
          </w:r>
          <w:r w:rsidR="00CA6A1F">
            <w:rPr>
              <w:rFonts w:ascii="Arial" w:eastAsia="Arial" w:hAnsi="Arial" w:cs="Arial"/>
              <w:b/>
              <w:color w:val="FFFFFF"/>
            </w:rPr>
            <w:t xml:space="preserve"> </w:t>
          </w:r>
          <w:r w:rsidRPr="00ED3301">
            <w:rPr>
              <w:rFonts w:ascii="Arial" w:eastAsia="Arial" w:hAnsi="Arial" w:cs="Arial"/>
              <w:b/>
              <w:color w:val="FFFFFF"/>
            </w:rPr>
            <w:t>(2024)</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2416280">
    <w:abstractNumId w:val="1"/>
  </w:num>
  <w:num w:numId="2" w16cid:durableId="6194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55AF"/>
    <w:rsid w:val="000061DF"/>
    <w:rsid w:val="00017A55"/>
    <w:rsid w:val="0003437F"/>
    <w:rsid w:val="0004263E"/>
    <w:rsid w:val="00046AEC"/>
    <w:rsid w:val="00050BB3"/>
    <w:rsid w:val="00062E45"/>
    <w:rsid w:val="0007007D"/>
    <w:rsid w:val="000770BF"/>
    <w:rsid w:val="00085A85"/>
    <w:rsid w:val="00090C83"/>
    <w:rsid w:val="000B16DB"/>
    <w:rsid w:val="000B43C6"/>
    <w:rsid w:val="000C394D"/>
    <w:rsid w:val="000F032D"/>
    <w:rsid w:val="000F0C31"/>
    <w:rsid w:val="00140EBF"/>
    <w:rsid w:val="00156473"/>
    <w:rsid w:val="00165E49"/>
    <w:rsid w:val="001674F8"/>
    <w:rsid w:val="00167937"/>
    <w:rsid w:val="001733FE"/>
    <w:rsid w:val="00174023"/>
    <w:rsid w:val="00176B8D"/>
    <w:rsid w:val="00181F62"/>
    <w:rsid w:val="00194A40"/>
    <w:rsid w:val="00194FC4"/>
    <w:rsid w:val="001D0C1C"/>
    <w:rsid w:val="001F1CAA"/>
    <w:rsid w:val="00202034"/>
    <w:rsid w:val="00203A9A"/>
    <w:rsid w:val="002710DE"/>
    <w:rsid w:val="002774E7"/>
    <w:rsid w:val="002844FE"/>
    <w:rsid w:val="002A69FF"/>
    <w:rsid w:val="002B590E"/>
    <w:rsid w:val="002B66C1"/>
    <w:rsid w:val="002D0CBA"/>
    <w:rsid w:val="00311BD9"/>
    <w:rsid w:val="003338EE"/>
    <w:rsid w:val="003441EF"/>
    <w:rsid w:val="0036616A"/>
    <w:rsid w:val="00381C62"/>
    <w:rsid w:val="00387C34"/>
    <w:rsid w:val="003A4BFE"/>
    <w:rsid w:val="003B104C"/>
    <w:rsid w:val="003C15E3"/>
    <w:rsid w:val="003C2DAC"/>
    <w:rsid w:val="003C7D1D"/>
    <w:rsid w:val="003F538E"/>
    <w:rsid w:val="003F655C"/>
    <w:rsid w:val="00404FCB"/>
    <w:rsid w:val="004102B2"/>
    <w:rsid w:val="00435F8C"/>
    <w:rsid w:val="00437F74"/>
    <w:rsid w:val="004412C1"/>
    <w:rsid w:val="00460147"/>
    <w:rsid w:val="004650CE"/>
    <w:rsid w:val="0046609B"/>
    <w:rsid w:val="00492703"/>
    <w:rsid w:val="004D475C"/>
    <w:rsid w:val="004E178D"/>
    <w:rsid w:val="004F5528"/>
    <w:rsid w:val="005027A1"/>
    <w:rsid w:val="0051121B"/>
    <w:rsid w:val="00543A1D"/>
    <w:rsid w:val="0055467B"/>
    <w:rsid w:val="00575867"/>
    <w:rsid w:val="00576850"/>
    <w:rsid w:val="005832EF"/>
    <w:rsid w:val="005A5406"/>
    <w:rsid w:val="005B05D4"/>
    <w:rsid w:val="005B22E4"/>
    <w:rsid w:val="005B2DEB"/>
    <w:rsid w:val="005D2C9C"/>
    <w:rsid w:val="005E2A33"/>
    <w:rsid w:val="005F3737"/>
    <w:rsid w:val="006141E6"/>
    <w:rsid w:val="0063111A"/>
    <w:rsid w:val="0063536F"/>
    <w:rsid w:val="00637079"/>
    <w:rsid w:val="00651969"/>
    <w:rsid w:val="0065223C"/>
    <w:rsid w:val="00663C9B"/>
    <w:rsid w:val="00675B91"/>
    <w:rsid w:val="00682525"/>
    <w:rsid w:val="006856C6"/>
    <w:rsid w:val="00690715"/>
    <w:rsid w:val="00690D5E"/>
    <w:rsid w:val="006C2A6E"/>
    <w:rsid w:val="006C4283"/>
    <w:rsid w:val="006D59F7"/>
    <w:rsid w:val="00701DC2"/>
    <w:rsid w:val="00703D41"/>
    <w:rsid w:val="00711578"/>
    <w:rsid w:val="00726873"/>
    <w:rsid w:val="007315B7"/>
    <w:rsid w:val="00770669"/>
    <w:rsid w:val="00771D74"/>
    <w:rsid w:val="00780A37"/>
    <w:rsid w:val="00784D8C"/>
    <w:rsid w:val="00787BC3"/>
    <w:rsid w:val="007A1188"/>
    <w:rsid w:val="007C2F9E"/>
    <w:rsid w:val="007D720E"/>
    <w:rsid w:val="007F068B"/>
    <w:rsid w:val="00810FD9"/>
    <w:rsid w:val="0082442F"/>
    <w:rsid w:val="0083323B"/>
    <w:rsid w:val="00836E5F"/>
    <w:rsid w:val="00863CA9"/>
    <w:rsid w:val="0087328F"/>
    <w:rsid w:val="0087440F"/>
    <w:rsid w:val="00882AD4"/>
    <w:rsid w:val="008866B8"/>
    <w:rsid w:val="00893509"/>
    <w:rsid w:val="008962A7"/>
    <w:rsid w:val="008B4E00"/>
    <w:rsid w:val="008E3741"/>
    <w:rsid w:val="009016F7"/>
    <w:rsid w:val="0092747A"/>
    <w:rsid w:val="0093183C"/>
    <w:rsid w:val="00940D34"/>
    <w:rsid w:val="00943E1D"/>
    <w:rsid w:val="0094439B"/>
    <w:rsid w:val="0097458D"/>
    <w:rsid w:val="009751E9"/>
    <w:rsid w:val="00977190"/>
    <w:rsid w:val="00977F0C"/>
    <w:rsid w:val="00985CCA"/>
    <w:rsid w:val="00996279"/>
    <w:rsid w:val="009A3396"/>
    <w:rsid w:val="009B030E"/>
    <w:rsid w:val="009B0BB4"/>
    <w:rsid w:val="009F043F"/>
    <w:rsid w:val="00A012FC"/>
    <w:rsid w:val="00A61DA3"/>
    <w:rsid w:val="00A76D21"/>
    <w:rsid w:val="00AA18F9"/>
    <w:rsid w:val="00AA33E8"/>
    <w:rsid w:val="00AD12E1"/>
    <w:rsid w:val="00AD460B"/>
    <w:rsid w:val="00AD493B"/>
    <w:rsid w:val="00AE75E6"/>
    <w:rsid w:val="00B07324"/>
    <w:rsid w:val="00B21A73"/>
    <w:rsid w:val="00B677C5"/>
    <w:rsid w:val="00B94E35"/>
    <w:rsid w:val="00BA284A"/>
    <w:rsid w:val="00BC2CD5"/>
    <w:rsid w:val="00BD0ECD"/>
    <w:rsid w:val="00BE51D2"/>
    <w:rsid w:val="00BF3AED"/>
    <w:rsid w:val="00C03C6F"/>
    <w:rsid w:val="00C4214F"/>
    <w:rsid w:val="00C52EBA"/>
    <w:rsid w:val="00C73888"/>
    <w:rsid w:val="00C81C42"/>
    <w:rsid w:val="00C95C48"/>
    <w:rsid w:val="00CA6A1F"/>
    <w:rsid w:val="00CB3FA9"/>
    <w:rsid w:val="00CC0630"/>
    <w:rsid w:val="00CE28C4"/>
    <w:rsid w:val="00D1539C"/>
    <w:rsid w:val="00D26DB8"/>
    <w:rsid w:val="00D27B6A"/>
    <w:rsid w:val="00D53558"/>
    <w:rsid w:val="00D5764F"/>
    <w:rsid w:val="00D601F2"/>
    <w:rsid w:val="00D86117"/>
    <w:rsid w:val="00DA4967"/>
    <w:rsid w:val="00DA7F70"/>
    <w:rsid w:val="00DC0DE4"/>
    <w:rsid w:val="00DC3A1B"/>
    <w:rsid w:val="00DD5667"/>
    <w:rsid w:val="00E22B13"/>
    <w:rsid w:val="00E238AA"/>
    <w:rsid w:val="00E33384"/>
    <w:rsid w:val="00E4497D"/>
    <w:rsid w:val="00E55C47"/>
    <w:rsid w:val="00E63D7A"/>
    <w:rsid w:val="00E6425E"/>
    <w:rsid w:val="00E66D11"/>
    <w:rsid w:val="00E86063"/>
    <w:rsid w:val="00E9602D"/>
    <w:rsid w:val="00EB0C0E"/>
    <w:rsid w:val="00EC3623"/>
    <w:rsid w:val="00ED3301"/>
    <w:rsid w:val="00EF6280"/>
    <w:rsid w:val="00F215B2"/>
    <w:rsid w:val="00F30EF6"/>
    <w:rsid w:val="00F41165"/>
    <w:rsid w:val="00F44A7D"/>
    <w:rsid w:val="00F70C3B"/>
    <w:rsid w:val="00F7144A"/>
    <w:rsid w:val="00F71F2D"/>
    <w:rsid w:val="00F737B1"/>
    <w:rsid w:val="00F92F35"/>
    <w:rsid w:val="00FA29F1"/>
    <w:rsid w:val="00FC7B76"/>
    <w:rsid w:val="00FD1289"/>
    <w:rsid w:val="00FD3D41"/>
    <w:rsid w:val="00FE3AC9"/>
    <w:rsid w:val="00FE4B53"/>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442F"/>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uiPriority w:val="9"/>
    <w:semiHidden/>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innovation.org" TargetMode="External"/><Relationship Id="rId13" Type="http://schemas.openxmlformats.org/officeDocument/2006/relationships/hyperlink" Target="https://doi.org/10.4324/9781003447245"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rdsjournal.org/" TargetMode="External"/><Relationship Id="rId7" Type="http://schemas.openxmlformats.org/officeDocument/2006/relationships/endnotes" Target="endnotes.xml"/><Relationship Id="rId12" Type="http://schemas.openxmlformats.org/officeDocument/2006/relationships/hyperlink" Target="https://doi.org/10.18260/1-2--30832" TargetMode="External"/><Relationship Id="rId17" Type="http://schemas.openxmlformats.org/officeDocument/2006/relationships/hyperlink" Target="https://data.bls.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jstem.org/jstem/index.php/JSTEM/article/view/1629/1493" TargetMode="External"/><Relationship Id="rId20" Type="http://schemas.openxmlformats.org/officeDocument/2006/relationships/hyperlink" Target="https://creativecommons.org/licenses/by/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ov/sites/default/files/2019/05/f62/STEM-Education-Strategic-Plan-201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371/journal.pone.010849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87/cbe.18-06-0091" TargetMode="External"/><Relationship Id="rId19" Type="http://schemas.openxmlformats.org/officeDocument/2006/relationships/hyperlink" Target="https://rdsjournal.org/index.php/journal/article/view/1356" TargetMode="External"/><Relationship Id="rId4" Type="http://schemas.openxmlformats.org/officeDocument/2006/relationships/settings" Target="settings.xml"/><Relationship Id="rId9" Type="http://schemas.openxmlformats.org/officeDocument/2006/relationships/hyperlink" Target="https://www.washington.edu/doit/increasing-participation-students-disabilities-science-technology-engineering-and-mathematics" TargetMode="External"/><Relationship Id="rId14" Type="http://schemas.openxmlformats.org/officeDocument/2006/relationships/hyperlink" Target="https://doi.org/10.14507/epaa.v18n30.201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cp:lastPrinted>2024-11-26T22:40:00Z</cp:lastPrinted>
  <dcterms:created xsi:type="dcterms:W3CDTF">2024-12-29T16:04:00Z</dcterms:created>
  <dcterms:modified xsi:type="dcterms:W3CDTF">2024-12-29T16:04:00Z</dcterms:modified>
</cp:coreProperties>
</file>