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59B" w:rsidRPr="00D03FB5" w:rsidRDefault="00DF459B" w:rsidP="00DF459B">
      <w:pPr>
        <w:spacing w:line="240" w:lineRule="auto"/>
        <w:ind w:firstLine="0"/>
        <w:jc w:val="center"/>
        <w:rPr>
          <w:sz w:val="24"/>
          <w:szCs w:val="24"/>
        </w:rPr>
      </w:pPr>
      <w:r w:rsidRPr="00D03FB5">
        <w:rPr>
          <w:sz w:val="24"/>
          <w:szCs w:val="24"/>
        </w:rPr>
        <w:t>A Comparison of Male and Female Title I ADA Discrimination Allegations in Relation to Employer Characteristics</w:t>
      </w:r>
    </w:p>
    <w:p w:rsidR="00DF459B" w:rsidRPr="00D03FB5" w:rsidRDefault="00DF459B" w:rsidP="00DF459B">
      <w:pPr>
        <w:spacing w:line="240" w:lineRule="auto"/>
        <w:ind w:firstLine="0"/>
        <w:jc w:val="center"/>
        <w:rPr>
          <w:sz w:val="24"/>
          <w:szCs w:val="24"/>
        </w:rPr>
      </w:pPr>
    </w:p>
    <w:p w:rsidR="00DF459B" w:rsidRPr="00D03FB5" w:rsidRDefault="00DF459B" w:rsidP="00DF459B">
      <w:pPr>
        <w:spacing w:line="240" w:lineRule="auto"/>
        <w:ind w:firstLine="0"/>
        <w:jc w:val="center"/>
        <w:rPr>
          <w:sz w:val="24"/>
          <w:szCs w:val="24"/>
        </w:rPr>
      </w:pPr>
      <w:r w:rsidRPr="00D03FB5">
        <w:rPr>
          <w:sz w:val="24"/>
          <w:szCs w:val="24"/>
        </w:rPr>
        <w:t>Lynn C. Koch, Ph.D.,</w:t>
      </w:r>
    </w:p>
    <w:p w:rsidR="00DF459B" w:rsidRPr="00D03FB5" w:rsidRDefault="00DF459B" w:rsidP="00DF459B">
      <w:pPr>
        <w:spacing w:line="240" w:lineRule="auto"/>
        <w:ind w:firstLine="0"/>
        <w:jc w:val="center"/>
        <w:rPr>
          <w:sz w:val="24"/>
          <w:szCs w:val="24"/>
        </w:rPr>
      </w:pPr>
      <w:r w:rsidRPr="00D03FB5">
        <w:rPr>
          <w:sz w:val="24"/>
          <w:szCs w:val="24"/>
        </w:rPr>
        <w:t>University of Arkansas;</w:t>
      </w:r>
    </w:p>
    <w:p w:rsidR="00DF459B" w:rsidRPr="00D03FB5" w:rsidRDefault="00DF459B" w:rsidP="00DF459B">
      <w:pPr>
        <w:spacing w:line="240" w:lineRule="auto"/>
        <w:ind w:firstLine="0"/>
        <w:jc w:val="center"/>
        <w:rPr>
          <w:sz w:val="24"/>
          <w:szCs w:val="24"/>
        </w:rPr>
      </w:pPr>
      <w:r w:rsidRPr="00D03FB5">
        <w:rPr>
          <w:sz w:val="24"/>
          <w:szCs w:val="24"/>
        </w:rPr>
        <w:t>Amy J. Armstrong, Ph.D., CRC,</w:t>
      </w:r>
    </w:p>
    <w:p w:rsidR="00DF459B" w:rsidRPr="00D03FB5" w:rsidRDefault="00DF459B" w:rsidP="00DF459B">
      <w:pPr>
        <w:spacing w:line="240" w:lineRule="auto"/>
        <w:ind w:firstLine="0"/>
        <w:jc w:val="center"/>
        <w:rPr>
          <w:sz w:val="24"/>
          <w:szCs w:val="24"/>
        </w:rPr>
      </w:pPr>
      <w:r w:rsidRPr="00D03FB5">
        <w:rPr>
          <w:sz w:val="24"/>
          <w:szCs w:val="24"/>
        </w:rPr>
        <w:t>Allen N. Lewis, Ph.D.,</w:t>
      </w:r>
    </w:p>
    <w:p w:rsidR="00DF459B" w:rsidRPr="00D03FB5" w:rsidRDefault="00DF459B" w:rsidP="00DF459B">
      <w:pPr>
        <w:spacing w:line="240" w:lineRule="auto"/>
        <w:ind w:firstLine="0"/>
        <w:jc w:val="center"/>
        <w:rPr>
          <w:sz w:val="24"/>
          <w:szCs w:val="24"/>
        </w:rPr>
      </w:pPr>
      <w:r w:rsidRPr="00D03FB5">
        <w:rPr>
          <w:sz w:val="24"/>
          <w:szCs w:val="24"/>
        </w:rPr>
        <w:t>Jessica E. Hurley, M.S., CRC,</w:t>
      </w:r>
    </w:p>
    <w:p w:rsidR="00DF459B" w:rsidRPr="00D03FB5" w:rsidRDefault="00DF459B" w:rsidP="00DF459B">
      <w:pPr>
        <w:spacing w:line="240" w:lineRule="auto"/>
        <w:ind w:firstLine="0"/>
        <w:jc w:val="center"/>
        <w:rPr>
          <w:sz w:val="24"/>
          <w:szCs w:val="24"/>
        </w:rPr>
      </w:pPr>
      <w:r w:rsidRPr="00D03FB5">
        <w:rPr>
          <w:sz w:val="24"/>
          <w:szCs w:val="24"/>
        </w:rPr>
        <w:t>Pamela H. Lewis, Ph.D.,</w:t>
      </w:r>
    </w:p>
    <w:p w:rsidR="00DF459B" w:rsidRPr="00D03FB5" w:rsidRDefault="00DF459B" w:rsidP="00DF459B">
      <w:pPr>
        <w:spacing w:line="240" w:lineRule="auto"/>
        <w:ind w:firstLine="0"/>
        <w:jc w:val="center"/>
        <w:rPr>
          <w:sz w:val="24"/>
          <w:szCs w:val="24"/>
        </w:rPr>
      </w:pPr>
      <w:r w:rsidRPr="00D03FB5">
        <w:rPr>
          <w:sz w:val="24"/>
          <w:szCs w:val="24"/>
        </w:rPr>
        <w:t>Brian T. McMahon, Ph.D., CRC,</w:t>
      </w:r>
    </w:p>
    <w:p w:rsidR="00DF459B" w:rsidRPr="00D03FB5" w:rsidRDefault="00DF459B" w:rsidP="00DF459B">
      <w:pPr>
        <w:spacing w:line="240" w:lineRule="auto"/>
        <w:ind w:firstLine="0"/>
        <w:jc w:val="center"/>
        <w:rPr>
          <w:sz w:val="24"/>
          <w:szCs w:val="24"/>
        </w:rPr>
      </w:pPr>
      <w:r w:rsidRPr="00D03FB5">
        <w:rPr>
          <w:sz w:val="24"/>
          <w:szCs w:val="24"/>
        </w:rPr>
        <w:t>Virginia Commonwealth University</w:t>
      </w:r>
    </w:p>
    <w:p w:rsidR="00DF459B" w:rsidRPr="00D03FB5" w:rsidRDefault="00DF459B" w:rsidP="00DF459B">
      <w:pPr>
        <w:spacing w:line="240" w:lineRule="auto"/>
        <w:ind w:firstLine="0"/>
        <w:jc w:val="center"/>
        <w:rPr>
          <w:sz w:val="24"/>
          <w:szCs w:val="24"/>
        </w:rPr>
      </w:pPr>
    </w:p>
    <w:p w:rsidR="00DF459B" w:rsidRPr="00D03FB5" w:rsidRDefault="00DF459B" w:rsidP="00DF459B">
      <w:pPr>
        <w:spacing w:line="240" w:lineRule="auto"/>
        <w:ind w:firstLine="0"/>
        <w:rPr>
          <w:sz w:val="24"/>
          <w:szCs w:val="24"/>
        </w:rPr>
      </w:pPr>
      <w:r w:rsidRPr="00D03FB5">
        <w:rPr>
          <w:b/>
          <w:sz w:val="24"/>
          <w:szCs w:val="24"/>
        </w:rPr>
        <w:t>Abstract:</w:t>
      </w:r>
      <w:r w:rsidRPr="00D03FB5">
        <w:rPr>
          <w:sz w:val="24"/>
          <w:szCs w:val="24"/>
        </w:rPr>
        <w:t xml:space="preserve">  This investigation determined if there is a difference in the proportion of Title I workplace discrimination allegations filed by females in comparison to males under the Americans with Disabilities Act (ADA) in relation to the employer characteristics.  Findings are reported and implications for future research and vocational rehabilitation practice.</w:t>
      </w:r>
    </w:p>
    <w:p w:rsidR="00DF459B" w:rsidRPr="00D03FB5" w:rsidRDefault="00DF459B" w:rsidP="00DF459B">
      <w:pPr>
        <w:spacing w:line="240" w:lineRule="auto"/>
        <w:ind w:firstLine="0"/>
        <w:jc w:val="both"/>
        <w:rPr>
          <w:sz w:val="24"/>
          <w:szCs w:val="24"/>
        </w:rPr>
      </w:pPr>
    </w:p>
    <w:p w:rsidR="00DF459B" w:rsidRPr="00D03FB5" w:rsidRDefault="00DF459B" w:rsidP="00DF459B">
      <w:pPr>
        <w:spacing w:line="240" w:lineRule="auto"/>
        <w:ind w:firstLine="0"/>
        <w:jc w:val="both"/>
        <w:rPr>
          <w:sz w:val="24"/>
          <w:szCs w:val="24"/>
        </w:rPr>
      </w:pPr>
      <w:r w:rsidRPr="00D03FB5">
        <w:rPr>
          <w:b/>
          <w:sz w:val="24"/>
          <w:szCs w:val="24"/>
        </w:rPr>
        <w:t>Keywords:</w:t>
      </w:r>
      <w:r w:rsidRPr="00D03FB5">
        <w:rPr>
          <w:sz w:val="24"/>
          <w:szCs w:val="24"/>
        </w:rPr>
        <w:t xml:space="preserve"> employment, gender, Americans with Disabilities Act</w:t>
      </w:r>
    </w:p>
    <w:p w:rsidR="00DF459B" w:rsidRPr="00D03FB5" w:rsidRDefault="00DF459B" w:rsidP="00DF459B">
      <w:pPr>
        <w:spacing w:line="240" w:lineRule="auto"/>
        <w:ind w:firstLine="0"/>
        <w:jc w:val="center"/>
        <w:rPr>
          <w:b/>
          <w:sz w:val="24"/>
          <w:szCs w:val="24"/>
        </w:rPr>
      </w:pPr>
    </w:p>
    <w:p w:rsidR="00DF459B" w:rsidRPr="00D03FB5" w:rsidRDefault="00DF459B" w:rsidP="00DF459B">
      <w:pPr>
        <w:spacing w:line="240" w:lineRule="auto"/>
        <w:rPr>
          <w:sz w:val="24"/>
          <w:szCs w:val="24"/>
        </w:rPr>
      </w:pPr>
      <w:r w:rsidRPr="00D03FB5">
        <w:rPr>
          <w:sz w:val="24"/>
          <w:szCs w:val="24"/>
        </w:rPr>
        <w:t xml:space="preserve">Although recent statistics indicate that 56% of adults with disabilities in the United States are female (Kessler Foundation &amp; National Organization on Disability, 2010), research related to disability and employment discrimination has historically attempted to take a gender blind approach and has neglected to explore the influence of gender on the employment discrimination experiences of individuals with disabilities (Asch and Fine, 1988; Kutza, 1985; Mudrick, 1988).  Most of this research has assumed the irrelevance of gender (Asch and Fine, 1988) despite the fact that research in related fields has unequivocally established that workplace discrimination based on gender is still prevalent in the U.S. employment arena.  Also concerning is the relative absence of research examining employer characteristics that are related to gender-by-disability discrimination. One exception is a study completed by Rumrill, Roessler, McMahon, Hennessy, and </w:t>
      </w:r>
      <w:proofErr w:type="gramStart"/>
      <w:r w:rsidRPr="00D03FB5">
        <w:rPr>
          <w:sz w:val="24"/>
          <w:szCs w:val="24"/>
        </w:rPr>
        <w:t>Neath</w:t>
      </w:r>
      <w:proofErr w:type="gramEnd"/>
      <w:r w:rsidRPr="00D03FB5">
        <w:rPr>
          <w:sz w:val="24"/>
          <w:szCs w:val="24"/>
        </w:rPr>
        <w:t xml:space="preserve"> (2007) who found that women with multiple sclerosis (MS) were more likely to file ADA Title I discrimination allegations against employers in the service industries and men with MS were more likely to file allegations against employers in the construction, manufacturing, and wholesale industries. </w:t>
      </w: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r w:rsidRPr="00D03FB5">
        <w:rPr>
          <w:sz w:val="24"/>
          <w:szCs w:val="24"/>
        </w:rPr>
        <w:t xml:space="preserve">Given that the combined role of gender and employer characteristics in predicting the employment discrimination experiences of people with disabilities has not received adequate research attention, the purpose of our investigation was to compare the gender of individuals across disability categories who filed employment discrimination claims under Title I of the Americans with Disabilities Act (ADA) with respect to attributes of the employers against whom claims were filed. By examining the organizational context in which these claims derive, we can obtain a gender driven vantage point on how successful the ADA has been in engineering positive social attitudes towards disability. </w:t>
      </w:r>
    </w:p>
    <w:p w:rsidR="00DF459B" w:rsidRPr="00D03FB5" w:rsidRDefault="00DF459B" w:rsidP="00DF459B">
      <w:pPr>
        <w:spacing w:line="240" w:lineRule="auto"/>
        <w:rPr>
          <w:sz w:val="24"/>
          <w:szCs w:val="24"/>
        </w:rPr>
      </w:pPr>
    </w:p>
    <w:p w:rsidR="00DF459B" w:rsidRPr="00D03FB5" w:rsidRDefault="00DF459B" w:rsidP="00DF459B">
      <w:pPr>
        <w:adjustRightInd w:val="0"/>
        <w:spacing w:line="240" w:lineRule="auto"/>
        <w:ind w:firstLine="0"/>
        <w:rPr>
          <w:sz w:val="24"/>
          <w:szCs w:val="24"/>
        </w:rPr>
      </w:pPr>
      <w:r w:rsidRPr="00D03FB5">
        <w:rPr>
          <w:sz w:val="24"/>
          <w:szCs w:val="24"/>
        </w:rPr>
        <w:t>Disability, Gender, and Employment Discrimination</w:t>
      </w:r>
    </w:p>
    <w:p w:rsidR="00DF459B" w:rsidRPr="00D03FB5" w:rsidRDefault="00DF459B" w:rsidP="00DF459B">
      <w:pPr>
        <w:adjustRightInd w:val="0"/>
        <w:spacing w:line="240" w:lineRule="auto"/>
        <w:rPr>
          <w:i/>
          <w:sz w:val="24"/>
          <w:szCs w:val="24"/>
        </w:rPr>
      </w:pPr>
    </w:p>
    <w:p w:rsidR="00DF459B" w:rsidRPr="00D03FB5" w:rsidRDefault="00DF459B" w:rsidP="00DF459B">
      <w:pPr>
        <w:spacing w:line="240" w:lineRule="auto"/>
        <w:rPr>
          <w:sz w:val="24"/>
          <w:szCs w:val="24"/>
        </w:rPr>
      </w:pPr>
      <w:r w:rsidRPr="00D03FB5">
        <w:rPr>
          <w:sz w:val="24"/>
          <w:szCs w:val="24"/>
        </w:rPr>
        <w:lastRenderedPageBreak/>
        <w:t>Females with disabilities are one of the largest and most marginalized groups within our society (Nosek &amp; Hughes, 2003; Jans &amp; Stoddard, 1999) based on their status as females as well as being identified as persons with a disability (Menz, Hansen, Smith, Brown, Ford, &amp; McCrowey, 1989; O'Hara, 2004; Traustadottir, 1990).  They outnumber males with disabilities and constitute from 8% to 21% of the population of females in the United States, depending on the data source used (Jans &amp; Stoddard, 1999; Erickson, Lee, &amp; von Schrader, 2010).  Although males between the ages of 5 and 15 tend to have higher rates of disability than females; the rate of disability reverses later in age, as females have higher rates of disability between the ages of 16 and 65 (U.S. Census Bureau, 2000).</w:t>
      </w: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r w:rsidRPr="00D03FB5">
        <w:rPr>
          <w:sz w:val="24"/>
          <w:szCs w:val="24"/>
        </w:rPr>
        <w:t>Females with disabilities are less likely to be employed than males with disabilities and females without disabilities, and those who are employed earn less than both these comparison groups (Hill, 1985; Kregel &amp; Wehman, 1989; Emmett &amp; Alant, 2006; U.S. Department of Labor, 1991; Bowe, 1992; Baldwin, Johnson, &amp; Watson, 1993; U.S. Census Bureau, 1994, 2001; Baldwin and Johnson, 1995; Burke, 1999; Kaye, 2001; Randolph &amp; Andresen, 2004). Among labor market participants, 31.8% of males with severe disabilities and 89.9% of males with moderate disabilities compared to 27.7% of females with severe disabilities and 73.0% of females with moderate disabilities either worked, looked for a job, or were on layoff status during the last four months of 1994 (Hale, Howard, &amp; McNeil, 1998).  In 1999, Jans and Stoddard reported that males with a mild disability earned 55% more than females with a mild disability.  In the case of a severe disability, males earned 26% more than females.  In comparison to females without disabilities, according to Smith (2007), disability is the strongest relative predictor of unemployment with the gender factor of being female the next significantly strong predictor of unemployment across time for the total population.</w:t>
      </w: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r w:rsidRPr="00D03FB5">
        <w:rPr>
          <w:sz w:val="24"/>
          <w:szCs w:val="24"/>
        </w:rPr>
        <w:t xml:space="preserve">In addition, gender differences in occupational distributions suggest that the effect of disabilities on levels of labor force participation (i.e., part-time vs. full-time) will also differ between men and women.  Acemoglu and Angrist (1998) found that females with disabilities between the ages of 21 and 39 worked fewer weeks from 1992 through 1995 than they did before the ADA was enacted.  Males in the age range of 40 to 58 also exhibited a decrease in the number of weeks worked from 1992 to 1993.  There was no effect on the employment rates of females with disabilities aged 40 to 58.  However, females under 40 experienced a decrease in their levels of employment after the ADA became effective.  This decrease has been confirmed by other researchers as well (e.g., DeLeir, 2000.  In addition, in a telephone survey (Randolph &amp; Anderson, 2004) of 66,592 respondents from disability surveillance programs and the Behavioral Risk Factor Surveillance System (BRFSS), the association between gender and employment was analyzed using logistic regression analysis.  The researchers found that 13.9% of the respondents aged 18-64 had a disability.  Those with a disability were older (mean age of 46.1), more likely to be females, and females were much more likely to be unemployed (55.1%) compared to males (45.3%).  </w:t>
      </w: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r w:rsidRPr="00D03FB5">
        <w:rPr>
          <w:sz w:val="24"/>
          <w:szCs w:val="24"/>
        </w:rPr>
        <w:t xml:space="preserve">Randolph and Anderson also collected </w:t>
      </w:r>
      <w:r w:rsidRPr="00D03FB5">
        <w:rPr>
          <w:rStyle w:val="Emphasis"/>
          <w:i w:val="0"/>
          <w:sz w:val="24"/>
          <w:szCs w:val="24"/>
        </w:rPr>
        <w:t>information from 560 intellectually disabled adults to ascertain whether gender played an important role in their type of employment (Olson, Andrea, Yovanoff, &amp; Mank, 2000).  The findings suggested that women worked in jobs traditionally stereotyped by gender, had fewer hours than did the men, and therefore earned less money.  O</w:t>
      </w:r>
      <w:r w:rsidRPr="00D03FB5">
        <w:rPr>
          <w:sz w:val="24"/>
          <w:szCs w:val="24"/>
        </w:rPr>
        <w:t xml:space="preserve">verrepresentation in low-status, socially isolating, monotonous occupations that are </w:t>
      </w:r>
      <w:r w:rsidRPr="00D03FB5">
        <w:rPr>
          <w:sz w:val="24"/>
          <w:szCs w:val="24"/>
        </w:rPr>
        <w:lastRenderedPageBreak/>
        <w:t xml:space="preserve">associated with high stress and high turnover is problematic for all individuals with disabilities, but especially for women with disabilities (Baldwin, 1991; Bergmann, 1974; Merz, Bricout, &amp; Koch, 2001; Tomaskovic-Devey et al., 2006). While it is not always known whether this phenomenon is related to gender differences in occupational choice, employer biases, or both, there is evidence that the career options perceived as open to people with disabilities are restricted.  Smart (2008) described this phenomenon as occupational role entrapment and identified the "five Fs" (i.e., food, filth, flowers, filing, and folding) as the jobs in which people with disabilities are overrepresented. Bergmann (1974) attributed this phenomenon to occupational segregation (i.e., the unequal distribution of people across occupations resulting from the discriminatory actions of employers). Research based on occupational segregation on the basis of both gender and disability is limited; however, in an investigation of differences in the occupational segregation of women with disabilities in comparison to women without disabilities, Baldwin (1991) found no significant differences between the two groups and concluded that women with disabilities and women without disabilities both experience occupational segregation based on their gender. Related research on occupational segregation based on race and gender is more prevalent and has established that it is a common employer practice in the United States and limits both the type and range of employment opportunities available to women and minorities. </w:t>
      </w: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r w:rsidRPr="00D03FB5">
        <w:rPr>
          <w:sz w:val="24"/>
          <w:szCs w:val="24"/>
        </w:rPr>
        <w:t xml:space="preserve">In sum, disability status coupled with being female consistently shows significance in predicting lower employment status and income in comparison to men or non-minorities with disabilities, and occupational segregation on the basis of gender further complicates the employment experience for women with disabilities.  </w:t>
      </w:r>
      <w:r w:rsidRPr="00D03FB5">
        <w:rPr>
          <w:sz w:val="24"/>
          <w:szCs w:val="24"/>
          <w:lang w:eastAsia="zh-CN"/>
        </w:rPr>
        <w:t>These issues are particularly concerning given that females’ participation and earnings in the labor force indicate that more females than males will receive disability benefits in the future (U.S. Department of Health and Human Services, 1993) because, on average, females</w:t>
      </w:r>
      <w:r w:rsidRPr="00D03FB5">
        <w:rPr>
          <w:sz w:val="24"/>
          <w:szCs w:val="24"/>
        </w:rPr>
        <w:t xml:space="preserve"> live about five years longer than males and therefore may have more aging-related disability issues (Altman &amp; Bernstein, 2008).  </w:t>
      </w:r>
    </w:p>
    <w:p w:rsidR="00DF459B" w:rsidRPr="00D03FB5" w:rsidRDefault="00DF459B" w:rsidP="00DF459B">
      <w:pPr>
        <w:spacing w:line="240" w:lineRule="auto"/>
        <w:rPr>
          <w:sz w:val="24"/>
          <w:szCs w:val="24"/>
        </w:rPr>
      </w:pPr>
    </w:p>
    <w:p w:rsidR="00DF459B" w:rsidRPr="00D03FB5" w:rsidRDefault="00DF459B" w:rsidP="00DF459B">
      <w:pPr>
        <w:spacing w:line="240" w:lineRule="auto"/>
        <w:ind w:firstLine="0"/>
        <w:rPr>
          <w:sz w:val="24"/>
          <w:szCs w:val="24"/>
        </w:rPr>
      </w:pPr>
      <w:r w:rsidRPr="00D03FB5">
        <w:rPr>
          <w:sz w:val="24"/>
          <w:szCs w:val="24"/>
        </w:rPr>
        <w:t>Employer Characteristics</w:t>
      </w:r>
    </w:p>
    <w:p w:rsidR="00DF459B" w:rsidRPr="00D03FB5" w:rsidRDefault="00DF459B" w:rsidP="00DF459B">
      <w:pPr>
        <w:spacing w:line="240" w:lineRule="auto"/>
        <w:rPr>
          <w:sz w:val="24"/>
          <w:szCs w:val="24"/>
        </w:rPr>
      </w:pPr>
      <w:r w:rsidRPr="00D03FB5">
        <w:rPr>
          <w:sz w:val="24"/>
          <w:szCs w:val="24"/>
        </w:rPr>
        <w:t xml:space="preserve"> </w:t>
      </w:r>
    </w:p>
    <w:p w:rsidR="00DF459B" w:rsidRPr="00D03FB5" w:rsidRDefault="00DF459B" w:rsidP="00DF459B">
      <w:pPr>
        <w:spacing w:line="240" w:lineRule="auto"/>
        <w:rPr>
          <w:sz w:val="24"/>
          <w:szCs w:val="24"/>
        </w:rPr>
      </w:pPr>
      <w:r w:rsidRPr="00D03FB5">
        <w:rPr>
          <w:sz w:val="24"/>
          <w:szCs w:val="24"/>
        </w:rPr>
        <w:t>As previously stated, research is sparse on employer characteristics in relation to discrimination based on both disability and gender. However, researchers have documented that organizational factors contribute to variations in the incidence of charges of race and sex discrimination against employers. Among these factors are size of the employer, extent of formalization of personnel and evaluation procedures, workplace norms regarding equity and civil rights, extent of supervisory control, degree of occupational segregation within the establishment, prevalence of female and minority managers, and the number of women and minorities in the workplace and across hierarchical occupational positions (Hirsh &amp; Kornrich, 2008).</w:t>
      </w: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r w:rsidRPr="00D03FB5">
        <w:rPr>
          <w:sz w:val="24"/>
          <w:szCs w:val="24"/>
        </w:rPr>
        <w:t xml:space="preserve">Employer industry is another factor that has been found to influence perceptions and allegations of discrimination based on gender and race, with different norms regarding equality and discrimination present in the labor and non-labor sectors (Hirsh &amp; Kornrich, 2008)). In addition, the size of the employer has been discussed as a factor, with larger employers who are more likely to have formalized anti-discrimination policies and procedures presumed to have fewer discrimination charges based on race and gender. Conversely, norms of informality and </w:t>
      </w:r>
      <w:r w:rsidRPr="00D03FB5">
        <w:rPr>
          <w:sz w:val="24"/>
          <w:szCs w:val="24"/>
        </w:rPr>
        <w:lastRenderedPageBreak/>
        <w:t>personal contact often associated with employers in smaller businesses may dissuade employees from filing claims against them (Hirsch &amp; Kornrich, 2008). Finally, researchers have noted that the culture and working practices of the industry often combine to impede achievement of individuals who do not belong to the dominant worker group within the industry, whereas organizational cultures of employers that are embedded in a civil rights consciousness do the opposite (Dainty &amp; Lingard, 2006).</w:t>
      </w:r>
    </w:p>
    <w:p w:rsidR="00DF459B" w:rsidRPr="00D03FB5" w:rsidRDefault="00DF459B" w:rsidP="00DF459B">
      <w:pPr>
        <w:spacing w:line="240" w:lineRule="auto"/>
        <w:rPr>
          <w:sz w:val="24"/>
          <w:szCs w:val="24"/>
        </w:rPr>
      </w:pPr>
    </w:p>
    <w:p w:rsidR="00DF459B" w:rsidRPr="00D03FB5" w:rsidRDefault="00DF459B" w:rsidP="00DF459B">
      <w:pPr>
        <w:spacing w:line="240" w:lineRule="auto"/>
        <w:ind w:firstLine="0"/>
        <w:jc w:val="center"/>
        <w:rPr>
          <w:sz w:val="24"/>
          <w:szCs w:val="24"/>
        </w:rPr>
      </w:pPr>
      <w:r w:rsidRPr="00D03FB5">
        <w:rPr>
          <w:sz w:val="24"/>
          <w:szCs w:val="24"/>
        </w:rPr>
        <w:t>Methods</w:t>
      </w:r>
    </w:p>
    <w:p w:rsidR="00DF459B" w:rsidRPr="00D03FB5" w:rsidRDefault="00DF459B" w:rsidP="00DF459B">
      <w:pPr>
        <w:spacing w:line="240" w:lineRule="auto"/>
        <w:ind w:firstLine="0"/>
        <w:rPr>
          <w:sz w:val="24"/>
          <w:szCs w:val="24"/>
        </w:rPr>
      </w:pPr>
      <w:r w:rsidRPr="00D03FB5">
        <w:rPr>
          <w:sz w:val="24"/>
          <w:szCs w:val="24"/>
        </w:rPr>
        <w:t>Data Source and Study Variables</w:t>
      </w: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r w:rsidRPr="00D03FB5">
        <w:rPr>
          <w:sz w:val="24"/>
          <w:szCs w:val="24"/>
        </w:rPr>
        <w:t>Using the Equal Employment Opportunity Commission’s Integrated Mission Database</w:t>
      </w:r>
      <w:proofErr w:type="gramStart"/>
      <w:r w:rsidRPr="00D03FB5">
        <w:rPr>
          <w:sz w:val="24"/>
          <w:szCs w:val="24"/>
        </w:rPr>
        <w:t>,</w:t>
      </w:r>
      <w:r w:rsidRPr="00D03FB5">
        <w:rPr>
          <w:sz w:val="24"/>
          <w:szCs w:val="24"/>
          <w:vertAlign w:val="superscript"/>
        </w:rPr>
        <w:t>1</w:t>
      </w:r>
      <w:proofErr w:type="gramEnd"/>
      <w:r w:rsidRPr="00D03FB5">
        <w:rPr>
          <w:sz w:val="24"/>
          <w:szCs w:val="24"/>
        </w:rPr>
        <w:t xml:space="preserve"> we extracted a study-specific dataset which follows the exclusion criteria described in the Armstrong et al. article published elsewhere in this issue (2011). The dataset uses an allegation of discrimination as a unit of measurement, not the individual who filed the allegation. The dataset was divided into male and female groups, with Males comprising 51.497% and a frequency of 206, 014 and females 48.503%, and 194, 035. Employer variables analyzed consist of: Employer Industry, Employer Size, and Employer Region.</w:t>
      </w: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r w:rsidRPr="00D03FB5">
        <w:rPr>
          <w:sz w:val="24"/>
          <w:szCs w:val="24"/>
        </w:rPr>
        <w:t>Employer Industry is based on the North American Industry Classification System (2002) and includes the following categories: Manufacturing; Health Care and Social Assistance; Public Administration; Educational Services; Retail Trades; Transportation and Warehousing; Professional, Scientific, and Technical Services; Administrative, Support, Waste Management, and Remediation Services; Other Services (except Public Administration); Finance and Insurance; Information, Construction; Accommodation and Food Services; Wholesale Trades; Utilities; Mining; Agriculture, Forestry, Fishing, and Hunting; Arts, Entertainment, and Recreation; Real Estate, Rental, and Leasing; and Management of Companies and Enterprises. Employer Size begins at 15 employees since this variable is based on the definition of employer size as covered under the ADA.  It includes the following categories:  15-100 employees; 101-200 employees; 201-500 employees; and 501+ employees. Employer Region is based on the U.S. Census Regions and includes the following categories:  Northeast; South; Midwest; West; Foreign and Territories; and Null.</w:t>
      </w:r>
    </w:p>
    <w:p w:rsidR="00DF459B" w:rsidRPr="00D03FB5" w:rsidRDefault="00DF459B" w:rsidP="00DF459B">
      <w:pPr>
        <w:spacing w:line="240" w:lineRule="auto"/>
        <w:rPr>
          <w:sz w:val="24"/>
          <w:szCs w:val="24"/>
        </w:rPr>
      </w:pPr>
    </w:p>
    <w:p w:rsidR="00DF459B" w:rsidRPr="00D03FB5" w:rsidRDefault="00DF459B" w:rsidP="00DF459B">
      <w:pPr>
        <w:spacing w:line="240" w:lineRule="auto"/>
        <w:ind w:firstLine="0"/>
        <w:rPr>
          <w:sz w:val="24"/>
          <w:szCs w:val="24"/>
        </w:rPr>
      </w:pPr>
      <w:r w:rsidRPr="00D03FB5">
        <w:rPr>
          <w:sz w:val="24"/>
          <w:szCs w:val="24"/>
        </w:rPr>
        <w:t>Research Questions</w:t>
      </w:r>
    </w:p>
    <w:p w:rsidR="00DF459B" w:rsidRPr="00D03FB5" w:rsidRDefault="00DF459B" w:rsidP="00DF459B">
      <w:pPr>
        <w:spacing w:line="240" w:lineRule="auto"/>
        <w:ind w:firstLine="0"/>
        <w:rPr>
          <w:i/>
          <w:sz w:val="24"/>
          <w:szCs w:val="24"/>
        </w:rPr>
      </w:pPr>
    </w:p>
    <w:p w:rsidR="00DF459B" w:rsidRPr="00D03FB5" w:rsidRDefault="00DF459B" w:rsidP="00DF459B">
      <w:pPr>
        <w:spacing w:line="240" w:lineRule="auto"/>
        <w:ind w:firstLine="0"/>
        <w:jc w:val="both"/>
        <w:rPr>
          <w:sz w:val="24"/>
          <w:szCs w:val="24"/>
        </w:rPr>
      </w:pPr>
      <w:r w:rsidRPr="00D03FB5">
        <w:rPr>
          <w:sz w:val="24"/>
          <w:szCs w:val="24"/>
        </w:rPr>
        <w:t>The following research questions guided this study:</w:t>
      </w:r>
    </w:p>
    <w:p w:rsidR="00DF459B" w:rsidRPr="00D03FB5" w:rsidRDefault="00DF459B" w:rsidP="00DF459B">
      <w:pPr>
        <w:spacing w:line="240" w:lineRule="auto"/>
        <w:ind w:firstLine="0"/>
        <w:jc w:val="both"/>
        <w:rPr>
          <w:b/>
          <w:sz w:val="24"/>
          <w:szCs w:val="24"/>
        </w:rPr>
      </w:pPr>
    </w:p>
    <w:p w:rsidR="00DF459B" w:rsidRPr="00D03FB5" w:rsidRDefault="00DF459B" w:rsidP="00DF459B">
      <w:pPr>
        <w:numPr>
          <w:ilvl w:val="0"/>
          <w:numId w:val="1"/>
        </w:numPr>
        <w:spacing w:line="240" w:lineRule="auto"/>
        <w:rPr>
          <w:sz w:val="24"/>
          <w:szCs w:val="24"/>
        </w:rPr>
      </w:pPr>
      <w:r w:rsidRPr="00D03FB5">
        <w:rPr>
          <w:sz w:val="24"/>
          <w:szCs w:val="24"/>
        </w:rPr>
        <w:t>Is there a significant difference in the proportion of male vs. female allegations in relation to Employer Industry?</w:t>
      </w:r>
    </w:p>
    <w:p w:rsidR="00DF459B" w:rsidRPr="00D03FB5" w:rsidRDefault="00DF459B" w:rsidP="00DF459B">
      <w:pPr>
        <w:numPr>
          <w:ilvl w:val="0"/>
          <w:numId w:val="1"/>
        </w:numPr>
        <w:spacing w:line="240" w:lineRule="auto"/>
        <w:rPr>
          <w:sz w:val="24"/>
          <w:szCs w:val="24"/>
        </w:rPr>
      </w:pPr>
      <w:r w:rsidRPr="00D03FB5">
        <w:rPr>
          <w:sz w:val="24"/>
          <w:szCs w:val="24"/>
        </w:rPr>
        <w:t>Is there a significant difference in the proportion of males vs. female allegations in relation to Employer Size?</w:t>
      </w:r>
    </w:p>
    <w:p w:rsidR="00DF459B" w:rsidRPr="00D03FB5" w:rsidRDefault="00DF459B" w:rsidP="00DF459B">
      <w:pPr>
        <w:numPr>
          <w:ilvl w:val="0"/>
          <w:numId w:val="1"/>
        </w:numPr>
        <w:spacing w:line="240" w:lineRule="auto"/>
        <w:rPr>
          <w:sz w:val="24"/>
          <w:szCs w:val="24"/>
        </w:rPr>
      </w:pPr>
      <w:r w:rsidRPr="00D03FB5">
        <w:rPr>
          <w:sz w:val="24"/>
          <w:szCs w:val="24"/>
        </w:rPr>
        <w:t>Is there a significant difference in the proportion of males vs. female allegations in relation to Employer Region?</w:t>
      </w:r>
    </w:p>
    <w:p w:rsidR="00DF459B" w:rsidRPr="00D03FB5" w:rsidRDefault="00DF459B" w:rsidP="00DF459B">
      <w:pPr>
        <w:spacing w:line="240" w:lineRule="auto"/>
        <w:ind w:left="720" w:firstLine="0"/>
        <w:rPr>
          <w:sz w:val="24"/>
          <w:szCs w:val="24"/>
        </w:rPr>
      </w:pPr>
    </w:p>
    <w:p w:rsidR="00DF459B" w:rsidRPr="00D03FB5" w:rsidRDefault="00DF459B" w:rsidP="00DF459B">
      <w:pPr>
        <w:spacing w:line="240" w:lineRule="auto"/>
        <w:ind w:firstLine="0"/>
        <w:rPr>
          <w:sz w:val="24"/>
          <w:szCs w:val="24"/>
        </w:rPr>
      </w:pPr>
      <w:r w:rsidRPr="00D03FB5">
        <w:rPr>
          <w:sz w:val="24"/>
          <w:szCs w:val="24"/>
        </w:rPr>
        <w:t>Data Analysis</w:t>
      </w:r>
    </w:p>
    <w:p w:rsidR="00DF459B" w:rsidRPr="00D03FB5" w:rsidRDefault="00DF459B" w:rsidP="00DF459B">
      <w:pPr>
        <w:spacing w:line="240" w:lineRule="auto"/>
        <w:ind w:firstLine="0"/>
        <w:rPr>
          <w:i/>
          <w:sz w:val="24"/>
          <w:szCs w:val="24"/>
        </w:rPr>
      </w:pPr>
    </w:p>
    <w:p w:rsidR="00DF459B" w:rsidRPr="00D03FB5" w:rsidRDefault="00DF459B" w:rsidP="00DF459B">
      <w:pPr>
        <w:spacing w:line="240" w:lineRule="auto"/>
        <w:rPr>
          <w:sz w:val="24"/>
          <w:szCs w:val="24"/>
        </w:rPr>
      </w:pPr>
      <w:r w:rsidRPr="00D03FB5">
        <w:rPr>
          <w:sz w:val="24"/>
          <w:szCs w:val="24"/>
        </w:rPr>
        <w:lastRenderedPageBreak/>
        <w:t>Non-parametric tests of proportions were conducted for each variable category to compare male and female allegations using Minitab 15. All alpha levels were set at &lt; .001 and variable categories which fell outside of this range were judged to be without significance. Each variable’s categories were ranked by z-score for comparison between male and female allegations.</w:t>
      </w:r>
    </w:p>
    <w:p w:rsidR="00DF459B" w:rsidRPr="00D03FB5" w:rsidRDefault="00DF459B" w:rsidP="00DF459B">
      <w:pPr>
        <w:spacing w:line="240" w:lineRule="auto"/>
        <w:ind w:firstLine="0"/>
        <w:jc w:val="center"/>
        <w:rPr>
          <w:sz w:val="24"/>
          <w:szCs w:val="24"/>
        </w:rPr>
      </w:pPr>
      <w:r w:rsidRPr="00D03FB5">
        <w:rPr>
          <w:sz w:val="24"/>
          <w:szCs w:val="24"/>
        </w:rPr>
        <w:t>Results</w:t>
      </w:r>
    </w:p>
    <w:p w:rsidR="00DF459B" w:rsidRPr="00D03FB5" w:rsidRDefault="00DF459B" w:rsidP="00DF459B">
      <w:pPr>
        <w:spacing w:line="240" w:lineRule="auto"/>
        <w:jc w:val="center"/>
        <w:rPr>
          <w:sz w:val="24"/>
          <w:szCs w:val="24"/>
        </w:rPr>
      </w:pPr>
    </w:p>
    <w:p w:rsidR="00DF459B" w:rsidRPr="00D03FB5" w:rsidRDefault="00DF459B" w:rsidP="00DF459B">
      <w:pPr>
        <w:spacing w:line="240" w:lineRule="auto"/>
        <w:rPr>
          <w:sz w:val="24"/>
          <w:szCs w:val="24"/>
        </w:rPr>
      </w:pPr>
      <w:r w:rsidRPr="00D03FB5">
        <w:rPr>
          <w:sz w:val="24"/>
          <w:szCs w:val="24"/>
        </w:rPr>
        <w:t xml:space="preserve">Employer Industry categories with significantly more male than female allegations included:  Manufacturing; Construction; Transportation and Utilities; Mining; Wholesale Trades; Public Administration; Administrative, Support, Waste Management, and Remediation Services; Agriculture, Forestry, Fishing, and Hunting; and Other Services </w:t>
      </w:r>
      <w:proofErr w:type="gramStart"/>
      <w:r w:rsidRPr="00D03FB5">
        <w:rPr>
          <w:sz w:val="24"/>
          <w:szCs w:val="24"/>
        </w:rPr>
        <w:t>Except</w:t>
      </w:r>
      <w:proofErr w:type="gramEnd"/>
      <w:r w:rsidRPr="00D03FB5">
        <w:rPr>
          <w:sz w:val="24"/>
          <w:szCs w:val="24"/>
        </w:rPr>
        <w:t xml:space="preserve"> Public Administration. Employer Industry categories with significantly more female than male allegations included:  Health Care and Social Assistance; Finance and Insurance; Educational Services; Information; Retail Trades; and Accommodation and Food Services. Employer Industry categories with no significant difference between the proportion of male and female allegations included:  Arts, Entertainment, and Recreation; Real Estate and Rental and Leasing; Professional, Scientific, and Technical Services; and Management of Companies and Enterprises. Employer Industry Results including z-scores are displayed in Table 1.</w:t>
      </w:r>
    </w:p>
    <w:p w:rsidR="00DF459B" w:rsidRPr="00D03FB5" w:rsidRDefault="00DF459B" w:rsidP="00DF459B">
      <w:pPr>
        <w:spacing w:line="240" w:lineRule="auto"/>
        <w:ind w:firstLine="0"/>
        <w:rPr>
          <w:b/>
          <w:sz w:val="24"/>
          <w:szCs w:val="24"/>
        </w:rPr>
      </w:pPr>
    </w:p>
    <w:p w:rsidR="00DF459B" w:rsidRPr="00D03FB5" w:rsidRDefault="00DF459B" w:rsidP="00DF459B">
      <w:pPr>
        <w:spacing w:line="240" w:lineRule="auto"/>
        <w:ind w:firstLine="0"/>
        <w:rPr>
          <w:b/>
          <w:sz w:val="24"/>
          <w:szCs w:val="24"/>
        </w:rPr>
      </w:pPr>
      <w:proofErr w:type="gramStart"/>
      <w:r w:rsidRPr="00D03FB5">
        <w:rPr>
          <w:b/>
          <w:sz w:val="24"/>
          <w:szCs w:val="24"/>
        </w:rPr>
        <w:t>Table 1.</w:t>
      </w:r>
      <w:proofErr w:type="gramEnd"/>
      <w:r w:rsidRPr="00D03FB5">
        <w:rPr>
          <w:b/>
          <w:sz w:val="24"/>
          <w:szCs w:val="24"/>
        </w:rPr>
        <w:t xml:space="preserve"> Males vs. Females Ranked by Z-Score</w:t>
      </w:r>
    </w:p>
    <w:p w:rsidR="00DF459B" w:rsidRPr="00D03FB5" w:rsidRDefault="00DF459B" w:rsidP="00DF459B">
      <w:pPr>
        <w:spacing w:line="240" w:lineRule="auto"/>
        <w:jc w:val="center"/>
        <w:rPr>
          <w:b/>
          <w:sz w:val="24"/>
          <w:szCs w:val="24"/>
        </w:rPr>
      </w:pPr>
    </w:p>
    <w:tbl>
      <w:tblPr>
        <w:tblW w:w="58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bottom w:w="29" w:type="dxa"/>
          <w:right w:w="115" w:type="dxa"/>
        </w:tblCellMar>
        <w:tblLook w:val="04A0"/>
      </w:tblPr>
      <w:tblGrid>
        <w:gridCol w:w="2416"/>
        <w:gridCol w:w="1281"/>
        <w:gridCol w:w="1260"/>
        <w:gridCol w:w="1400"/>
        <w:gridCol w:w="1351"/>
        <w:gridCol w:w="1351"/>
        <w:gridCol w:w="1262"/>
        <w:gridCol w:w="991"/>
      </w:tblGrid>
      <w:tr w:rsidR="00DF459B" w:rsidRPr="00D03FB5" w:rsidTr="001031EB">
        <w:trPr>
          <w:jc w:val="center"/>
        </w:trPr>
        <w:tc>
          <w:tcPr>
            <w:tcW w:w="1068"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hanging="18"/>
              <w:rPr>
                <w:b/>
                <w:sz w:val="24"/>
                <w:szCs w:val="24"/>
              </w:rPr>
            </w:pPr>
            <w:r w:rsidRPr="00D03FB5">
              <w:rPr>
                <w:b/>
                <w:sz w:val="24"/>
                <w:szCs w:val="24"/>
              </w:rPr>
              <w:t>Industry</w:t>
            </w:r>
          </w:p>
        </w:tc>
        <w:tc>
          <w:tcPr>
            <w:tcW w:w="566"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hanging="72"/>
              <w:jc w:val="center"/>
              <w:rPr>
                <w:b/>
                <w:sz w:val="24"/>
                <w:szCs w:val="24"/>
              </w:rPr>
            </w:pPr>
            <w:r w:rsidRPr="00D03FB5">
              <w:rPr>
                <w:b/>
                <w:sz w:val="24"/>
                <w:szCs w:val="24"/>
              </w:rPr>
              <w:t>Males</w:t>
            </w:r>
          </w:p>
          <w:p w:rsidR="00DF459B" w:rsidRPr="00D03FB5" w:rsidRDefault="00DF459B" w:rsidP="001031EB">
            <w:pPr>
              <w:spacing w:line="240" w:lineRule="auto"/>
              <w:ind w:hanging="72"/>
              <w:jc w:val="center"/>
              <w:rPr>
                <w:b/>
                <w:sz w:val="24"/>
                <w:szCs w:val="24"/>
              </w:rPr>
            </w:pPr>
            <w:r w:rsidRPr="00D03FB5">
              <w:rPr>
                <w:b/>
                <w:sz w:val="24"/>
                <w:szCs w:val="24"/>
              </w:rPr>
              <w:t>n</w:t>
            </w:r>
          </w:p>
        </w:tc>
        <w:tc>
          <w:tcPr>
            <w:tcW w:w="557"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firstLine="0"/>
              <w:jc w:val="center"/>
              <w:rPr>
                <w:b/>
                <w:sz w:val="24"/>
                <w:szCs w:val="24"/>
              </w:rPr>
            </w:pPr>
            <w:r w:rsidRPr="00D03FB5">
              <w:rPr>
                <w:b/>
                <w:sz w:val="24"/>
                <w:szCs w:val="24"/>
              </w:rPr>
              <w:t>Males</w:t>
            </w:r>
          </w:p>
          <w:p w:rsidR="00DF459B" w:rsidRPr="00D03FB5" w:rsidRDefault="00DF459B" w:rsidP="001031EB">
            <w:pPr>
              <w:spacing w:line="240" w:lineRule="auto"/>
              <w:ind w:firstLine="0"/>
              <w:jc w:val="center"/>
              <w:rPr>
                <w:b/>
                <w:sz w:val="24"/>
                <w:szCs w:val="24"/>
              </w:rPr>
            </w:pPr>
            <w:r w:rsidRPr="00D03FB5">
              <w:rPr>
                <w:b/>
                <w:sz w:val="24"/>
                <w:szCs w:val="24"/>
              </w:rPr>
              <w:t>%</w:t>
            </w:r>
          </w:p>
        </w:tc>
        <w:tc>
          <w:tcPr>
            <w:tcW w:w="619"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firstLine="0"/>
              <w:jc w:val="center"/>
              <w:rPr>
                <w:b/>
                <w:sz w:val="24"/>
                <w:szCs w:val="24"/>
              </w:rPr>
            </w:pPr>
            <w:r w:rsidRPr="00D03FB5">
              <w:rPr>
                <w:b/>
                <w:sz w:val="24"/>
                <w:szCs w:val="24"/>
              </w:rPr>
              <w:t>Females</w:t>
            </w:r>
          </w:p>
          <w:p w:rsidR="00DF459B" w:rsidRPr="00D03FB5" w:rsidRDefault="00DF459B" w:rsidP="001031EB">
            <w:pPr>
              <w:spacing w:line="240" w:lineRule="auto"/>
              <w:ind w:firstLine="0"/>
              <w:jc w:val="center"/>
              <w:rPr>
                <w:b/>
                <w:sz w:val="24"/>
                <w:szCs w:val="24"/>
              </w:rPr>
            </w:pPr>
            <w:r w:rsidRPr="00D03FB5">
              <w:rPr>
                <w:b/>
                <w:sz w:val="24"/>
                <w:szCs w:val="24"/>
              </w:rPr>
              <w:t>%</w:t>
            </w:r>
          </w:p>
        </w:tc>
        <w:tc>
          <w:tcPr>
            <w:tcW w:w="597"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firstLine="0"/>
              <w:jc w:val="center"/>
              <w:rPr>
                <w:b/>
                <w:sz w:val="24"/>
                <w:szCs w:val="24"/>
              </w:rPr>
            </w:pPr>
            <w:r w:rsidRPr="00D03FB5">
              <w:rPr>
                <w:b/>
                <w:sz w:val="24"/>
                <w:szCs w:val="24"/>
              </w:rPr>
              <w:t>Females</w:t>
            </w:r>
          </w:p>
          <w:p w:rsidR="00DF459B" w:rsidRPr="00D03FB5" w:rsidRDefault="00DF459B" w:rsidP="001031EB">
            <w:pPr>
              <w:spacing w:line="240" w:lineRule="auto"/>
              <w:ind w:firstLine="0"/>
              <w:jc w:val="center"/>
              <w:rPr>
                <w:sz w:val="24"/>
                <w:szCs w:val="24"/>
              </w:rPr>
            </w:pPr>
            <w:r w:rsidRPr="00D03FB5">
              <w:rPr>
                <w:b/>
                <w:sz w:val="24"/>
                <w:szCs w:val="24"/>
              </w:rPr>
              <w:t>n</w:t>
            </w:r>
          </w:p>
        </w:tc>
        <w:tc>
          <w:tcPr>
            <w:tcW w:w="597"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firstLine="0"/>
              <w:jc w:val="center"/>
              <w:rPr>
                <w:b/>
                <w:sz w:val="24"/>
                <w:szCs w:val="24"/>
              </w:rPr>
            </w:pPr>
            <w:r w:rsidRPr="00D03FB5">
              <w:rPr>
                <w:b/>
                <w:sz w:val="24"/>
                <w:szCs w:val="24"/>
              </w:rPr>
              <w:t>Favors</w:t>
            </w:r>
          </w:p>
          <w:p w:rsidR="00DF459B" w:rsidRPr="00D03FB5" w:rsidRDefault="00DF459B" w:rsidP="001031EB">
            <w:pPr>
              <w:spacing w:line="240" w:lineRule="auto"/>
              <w:ind w:firstLine="0"/>
              <w:jc w:val="center"/>
              <w:rPr>
                <w:b/>
                <w:sz w:val="24"/>
                <w:szCs w:val="24"/>
              </w:rPr>
            </w:pPr>
            <w:r w:rsidRPr="00D03FB5">
              <w:rPr>
                <w:b/>
                <w:sz w:val="24"/>
                <w:szCs w:val="24"/>
              </w:rPr>
              <w:t>Whom?</w:t>
            </w:r>
          </w:p>
        </w:tc>
        <w:tc>
          <w:tcPr>
            <w:tcW w:w="558"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firstLine="0"/>
              <w:jc w:val="center"/>
              <w:rPr>
                <w:b/>
                <w:sz w:val="24"/>
                <w:szCs w:val="24"/>
              </w:rPr>
            </w:pPr>
            <w:r w:rsidRPr="00D03FB5">
              <w:rPr>
                <w:b/>
                <w:sz w:val="24"/>
                <w:szCs w:val="24"/>
              </w:rPr>
              <w:t>z-</w:t>
            </w:r>
          </w:p>
          <w:p w:rsidR="00DF459B" w:rsidRPr="00D03FB5" w:rsidRDefault="00DF459B" w:rsidP="001031EB">
            <w:pPr>
              <w:spacing w:line="240" w:lineRule="auto"/>
              <w:ind w:firstLine="0"/>
              <w:jc w:val="center"/>
              <w:rPr>
                <w:b/>
                <w:sz w:val="24"/>
                <w:szCs w:val="24"/>
              </w:rPr>
            </w:pPr>
            <w:r w:rsidRPr="00D03FB5">
              <w:rPr>
                <w:b/>
                <w:sz w:val="24"/>
                <w:szCs w:val="24"/>
              </w:rPr>
              <w:t>Score</w:t>
            </w:r>
          </w:p>
        </w:tc>
        <w:tc>
          <w:tcPr>
            <w:tcW w:w="438"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firstLine="0"/>
              <w:jc w:val="center"/>
              <w:rPr>
                <w:b/>
                <w:sz w:val="24"/>
                <w:szCs w:val="24"/>
              </w:rPr>
            </w:pPr>
            <w:r w:rsidRPr="00D03FB5">
              <w:rPr>
                <w:b/>
                <w:sz w:val="24"/>
                <w:szCs w:val="24"/>
              </w:rPr>
              <w:t>p</w:t>
            </w:r>
          </w:p>
          <w:p w:rsidR="00DF459B" w:rsidRPr="00D03FB5" w:rsidRDefault="00DF459B" w:rsidP="001031EB">
            <w:pPr>
              <w:spacing w:line="240" w:lineRule="auto"/>
              <w:ind w:firstLine="0"/>
              <w:jc w:val="center"/>
              <w:rPr>
                <w:b/>
                <w:sz w:val="24"/>
                <w:szCs w:val="24"/>
              </w:rPr>
            </w:pPr>
            <w:r w:rsidRPr="00D03FB5">
              <w:rPr>
                <w:b/>
                <w:sz w:val="24"/>
                <w:szCs w:val="24"/>
              </w:rPr>
              <w:t>Value</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Manufacturing </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40,519</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19.668</w:t>
            </w:r>
          </w:p>
        </w:tc>
        <w:tc>
          <w:tcPr>
            <w:tcW w:w="619" w:type="pct"/>
          </w:tcPr>
          <w:p w:rsidR="00DF459B" w:rsidRPr="00D03FB5" w:rsidRDefault="00DF459B" w:rsidP="001031EB">
            <w:pPr>
              <w:tabs>
                <w:tab w:val="left" w:pos="1125"/>
              </w:tabs>
              <w:spacing w:line="240" w:lineRule="auto"/>
              <w:ind w:firstLine="0"/>
              <w:jc w:val="center"/>
              <w:rPr>
                <w:sz w:val="24"/>
                <w:szCs w:val="24"/>
              </w:rPr>
            </w:pPr>
            <w:r w:rsidRPr="00D03FB5">
              <w:rPr>
                <w:sz w:val="24"/>
                <w:szCs w:val="24"/>
              </w:rPr>
              <w:t>12.975</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25,177</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57.62</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Construction </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5,873</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2.851</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0.739</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1,434</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50.88</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Transportation and Warehousing </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13,032</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6.326</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3.138</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6,089</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47.82</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Utilities </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3,955</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1.920</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0.808</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1,568</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30.52</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Mining </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2,105</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1.022</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0.377</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732</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24.63</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Wholesale Trades</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4,452</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2.161</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1.372</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2,662</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19.01</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Public Administration </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19,610</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9.519</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8.284</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16,073</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13.73</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Administrative, Support, Waste Management, and Remediation Services </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8,760</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4.252</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3.591</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6,968</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10.78</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Null</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37,027</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17.973</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16.690</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32,385</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10.72</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vAlign w:val="center"/>
          </w:tcPr>
          <w:p w:rsidR="00DF459B" w:rsidRPr="00D03FB5" w:rsidRDefault="00DF459B" w:rsidP="001031EB">
            <w:pPr>
              <w:spacing w:line="240" w:lineRule="auto"/>
              <w:ind w:hanging="18"/>
              <w:rPr>
                <w:sz w:val="24"/>
                <w:szCs w:val="24"/>
              </w:rPr>
            </w:pPr>
            <w:r w:rsidRPr="00D03FB5">
              <w:rPr>
                <w:sz w:val="24"/>
                <w:szCs w:val="24"/>
              </w:rPr>
              <w:t>Agriculture, Forestry, Fishing and Hunting</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1,186</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0.576</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0.450</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874</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5.55</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Other Services</w:t>
            </w:r>
            <w:r w:rsidRPr="00D03FB5">
              <w:rPr>
                <w:sz w:val="24"/>
                <w:szCs w:val="24"/>
              </w:rPr>
              <w:br/>
              <w:t xml:space="preserve">(Except Public Administration) </w:t>
            </w:r>
          </w:p>
        </w:tc>
        <w:tc>
          <w:tcPr>
            <w:tcW w:w="566" w:type="pct"/>
          </w:tcPr>
          <w:p w:rsidR="00DF459B" w:rsidRPr="00D03FB5" w:rsidRDefault="00DF459B" w:rsidP="001031EB">
            <w:pPr>
              <w:tabs>
                <w:tab w:val="left" w:pos="1005"/>
              </w:tabs>
              <w:spacing w:line="240" w:lineRule="auto"/>
              <w:ind w:hanging="72"/>
              <w:jc w:val="center"/>
              <w:rPr>
                <w:sz w:val="24"/>
                <w:szCs w:val="24"/>
              </w:rPr>
            </w:pPr>
            <w:r w:rsidRPr="00D03FB5">
              <w:rPr>
                <w:sz w:val="24"/>
                <w:szCs w:val="24"/>
              </w:rPr>
              <w:t>7,540</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3.660</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3.433</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6,662</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3.87</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Arts, Entertainment, and Recreation </w:t>
            </w:r>
          </w:p>
        </w:tc>
        <w:tc>
          <w:tcPr>
            <w:tcW w:w="566" w:type="pct"/>
          </w:tcPr>
          <w:p w:rsidR="00DF459B" w:rsidRPr="00D03FB5" w:rsidRDefault="00DF459B" w:rsidP="001031EB">
            <w:pPr>
              <w:tabs>
                <w:tab w:val="left" w:pos="1155"/>
              </w:tabs>
              <w:spacing w:line="240" w:lineRule="auto"/>
              <w:ind w:hanging="72"/>
              <w:jc w:val="center"/>
              <w:rPr>
                <w:sz w:val="24"/>
                <w:szCs w:val="24"/>
              </w:rPr>
            </w:pPr>
            <w:r w:rsidRPr="00D03FB5">
              <w:rPr>
                <w:sz w:val="24"/>
                <w:szCs w:val="24"/>
              </w:rPr>
              <w:t>1,419</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0.689</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0.633</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1,228</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NO SIG</w:t>
            </w:r>
          </w:p>
          <w:p w:rsidR="00DF459B" w:rsidRPr="00D03FB5" w:rsidRDefault="00DF459B" w:rsidP="001031EB">
            <w:pPr>
              <w:spacing w:line="240" w:lineRule="auto"/>
              <w:ind w:firstLine="0"/>
              <w:jc w:val="center"/>
              <w:rPr>
                <w:sz w:val="24"/>
                <w:szCs w:val="24"/>
              </w:rPr>
            </w:pPr>
            <w:r w:rsidRPr="00D03FB5">
              <w:rPr>
                <w:sz w:val="24"/>
                <w:szCs w:val="24"/>
              </w:rPr>
              <w:t>DIFF</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2.12</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0.029</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lastRenderedPageBreak/>
              <w:t xml:space="preserve">Real Estate, Rental,  &amp; Leasing </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1,528</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0.742</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0.715</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1,388</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NO SIG</w:t>
            </w:r>
          </w:p>
          <w:p w:rsidR="00DF459B" w:rsidRPr="00D03FB5" w:rsidRDefault="00DF459B" w:rsidP="001031EB">
            <w:pPr>
              <w:spacing w:line="240" w:lineRule="auto"/>
              <w:ind w:firstLine="0"/>
              <w:jc w:val="center"/>
              <w:rPr>
                <w:sz w:val="24"/>
                <w:szCs w:val="24"/>
              </w:rPr>
            </w:pPr>
            <w:r w:rsidRPr="00D03FB5">
              <w:rPr>
                <w:sz w:val="24"/>
                <w:szCs w:val="24"/>
              </w:rPr>
              <w:t>DIFF</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0.98</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0.327</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Professional, Scientific and Technical Services </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7,300</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3.543</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3.514</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6,818</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NO SIG</w:t>
            </w:r>
          </w:p>
          <w:p w:rsidR="00DF459B" w:rsidRPr="00D03FB5" w:rsidRDefault="00DF459B" w:rsidP="001031EB">
            <w:pPr>
              <w:spacing w:line="240" w:lineRule="auto"/>
              <w:ind w:firstLine="0"/>
              <w:jc w:val="center"/>
              <w:rPr>
                <w:sz w:val="24"/>
                <w:szCs w:val="24"/>
              </w:rPr>
            </w:pPr>
            <w:r w:rsidRPr="00D03FB5">
              <w:rPr>
                <w:sz w:val="24"/>
                <w:szCs w:val="24"/>
              </w:rPr>
              <w:t>DIFF</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0.51</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0.611</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Mgmt. of Companies and Enterprises </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34</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0.017</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0.017</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33</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NO SIG</w:t>
            </w:r>
          </w:p>
          <w:p w:rsidR="00DF459B" w:rsidRPr="00D03FB5" w:rsidRDefault="00DF459B" w:rsidP="001031EB">
            <w:pPr>
              <w:spacing w:line="240" w:lineRule="auto"/>
              <w:ind w:firstLine="0"/>
              <w:jc w:val="center"/>
              <w:rPr>
                <w:sz w:val="24"/>
                <w:szCs w:val="24"/>
              </w:rPr>
            </w:pPr>
            <w:r w:rsidRPr="00D03FB5">
              <w:rPr>
                <w:sz w:val="24"/>
                <w:szCs w:val="24"/>
              </w:rPr>
              <w:t>DIFF</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-0.12</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0.902</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Accommodation and Food Services </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4,143</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2.011</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2.262</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4,389</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FEMALES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-5.48</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Retail Trades </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15,334</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7.443</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7.954</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15,434</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FEMALES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-6.06</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Information </w:t>
            </w:r>
          </w:p>
        </w:tc>
        <w:tc>
          <w:tcPr>
            <w:tcW w:w="566" w:type="pct"/>
          </w:tcPr>
          <w:p w:rsidR="00DF459B" w:rsidRPr="00D03FB5" w:rsidRDefault="00DF459B" w:rsidP="001031EB">
            <w:pPr>
              <w:tabs>
                <w:tab w:val="left" w:pos="1080"/>
              </w:tabs>
              <w:spacing w:line="240" w:lineRule="auto"/>
              <w:ind w:hanging="72"/>
              <w:jc w:val="center"/>
              <w:rPr>
                <w:sz w:val="24"/>
                <w:szCs w:val="24"/>
              </w:rPr>
            </w:pPr>
            <w:r w:rsidRPr="00D03FB5">
              <w:rPr>
                <w:sz w:val="24"/>
                <w:szCs w:val="24"/>
              </w:rPr>
              <w:t>7,199</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3.494</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4.304</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8,351</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FEMALES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-13.20</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Educational Services </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8,268</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4.013</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6.365</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12,351</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FEMALES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-33.46</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Finance and Insurance </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5,706</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2.770</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5.549</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10,767</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FEMALES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-43.90</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tcPr>
          <w:p w:rsidR="00DF459B" w:rsidRPr="00D03FB5" w:rsidRDefault="00DF459B" w:rsidP="001031EB">
            <w:pPr>
              <w:spacing w:line="240" w:lineRule="auto"/>
              <w:ind w:hanging="18"/>
              <w:rPr>
                <w:sz w:val="24"/>
                <w:szCs w:val="24"/>
              </w:rPr>
            </w:pPr>
            <w:r w:rsidRPr="00D03FB5">
              <w:rPr>
                <w:sz w:val="24"/>
                <w:szCs w:val="24"/>
              </w:rPr>
              <w:t xml:space="preserve">Health Care and Social Assistance </w:t>
            </w:r>
          </w:p>
        </w:tc>
        <w:tc>
          <w:tcPr>
            <w:tcW w:w="566" w:type="pct"/>
          </w:tcPr>
          <w:p w:rsidR="00DF459B" w:rsidRPr="00D03FB5" w:rsidRDefault="00DF459B" w:rsidP="001031EB">
            <w:pPr>
              <w:spacing w:line="240" w:lineRule="auto"/>
              <w:ind w:hanging="72"/>
              <w:jc w:val="center"/>
              <w:rPr>
                <w:sz w:val="24"/>
                <w:szCs w:val="24"/>
              </w:rPr>
            </w:pPr>
            <w:r w:rsidRPr="00D03FB5">
              <w:rPr>
                <w:sz w:val="24"/>
                <w:szCs w:val="24"/>
              </w:rPr>
              <w:t>11,024</w:t>
            </w:r>
          </w:p>
        </w:tc>
        <w:tc>
          <w:tcPr>
            <w:tcW w:w="557" w:type="pct"/>
          </w:tcPr>
          <w:p w:rsidR="00DF459B" w:rsidRPr="00D03FB5" w:rsidRDefault="00DF459B" w:rsidP="001031EB">
            <w:pPr>
              <w:spacing w:line="240" w:lineRule="auto"/>
              <w:ind w:firstLine="0"/>
              <w:jc w:val="center"/>
              <w:rPr>
                <w:sz w:val="24"/>
                <w:szCs w:val="24"/>
              </w:rPr>
            </w:pPr>
            <w:r w:rsidRPr="00D03FB5">
              <w:rPr>
                <w:sz w:val="24"/>
                <w:szCs w:val="24"/>
              </w:rPr>
              <w:t>5.351</w:t>
            </w:r>
          </w:p>
        </w:tc>
        <w:tc>
          <w:tcPr>
            <w:tcW w:w="619" w:type="pct"/>
          </w:tcPr>
          <w:p w:rsidR="00DF459B" w:rsidRPr="00D03FB5" w:rsidRDefault="00DF459B" w:rsidP="001031EB">
            <w:pPr>
              <w:spacing w:line="240" w:lineRule="auto"/>
              <w:ind w:firstLine="0"/>
              <w:jc w:val="center"/>
              <w:rPr>
                <w:sz w:val="24"/>
                <w:szCs w:val="24"/>
              </w:rPr>
            </w:pPr>
            <w:r w:rsidRPr="00D03FB5">
              <w:rPr>
                <w:sz w:val="24"/>
                <w:szCs w:val="24"/>
              </w:rPr>
              <w:t>16.828</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32,652</w:t>
            </w:r>
          </w:p>
        </w:tc>
        <w:tc>
          <w:tcPr>
            <w:tcW w:w="597" w:type="pct"/>
          </w:tcPr>
          <w:p w:rsidR="00DF459B" w:rsidRPr="00D03FB5" w:rsidRDefault="00DF459B" w:rsidP="001031EB">
            <w:pPr>
              <w:spacing w:line="240" w:lineRule="auto"/>
              <w:ind w:firstLine="0"/>
              <w:jc w:val="center"/>
              <w:rPr>
                <w:sz w:val="24"/>
                <w:szCs w:val="24"/>
              </w:rPr>
            </w:pPr>
            <w:r w:rsidRPr="00D03FB5">
              <w:rPr>
                <w:sz w:val="24"/>
                <w:szCs w:val="24"/>
              </w:rPr>
              <w:t>FEMALES</w:t>
            </w:r>
          </w:p>
        </w:tc>
        <w:tc>
          <w:tcPr>
            <w:tcW w:w="558" w:type="pct"/>
          </w:tcPr>
          <w:p w:rsidR="00DF459B" w:rsidRPr="00D03FB5" w:rsidRDefault="00DF459B" w:rsidP="001031EB">
            <w:pPr>
              <w:spacing w:line="240" w:lineRule="auto"/>
              <w:ind w:firstLine="0"/>
              <w:jc w:val="center"/>
              <w:rPr>
                <w:sz w:val="24"/>
                <w:szCs w:val="24"/>
              </w:rPr>
            </w:pPr>
            <w:r w:rsidRPr="00D03FB5">
              <w:rPr>
                <w:sz w:val="24"/>
                <w:szCs w:val="24"/>
              </w:rPr>
              <w:t>-116.70</w:t>
            </w:r>
          </w:p>
        </w:tc>
        <w:tc>
          <w:tcPr>
            <w:tcW w:w="438"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1068" w:type="pct"/>
            <w:vAlign w:val="center"/>
          </w:tcPr>
          <w:p w:rsidR="00DF459B" w:rsidRPr="00D03FB5" w:rsidRDefault="00DF459B" w:rsidP="001031EB">
            <w:pPr>
              <w:spacing w:line="240" w:lineRule="auto"/>
              <w:ind w:firstLine="0"/>
              <w:rPr>
                <w:b/>
                <w:sz w:val="24"/>
                <w:szCs w:val="24"/>
              </w:rPr>
            </w:pPr>
          </w:p>
          <w:p w:rsidR="00DF459B" w:rsidRPr="00D03FB5" w:rsidRDefault="00DF459B" w:rsidP="001031EB">
            <w:pPr>
              <w:spacing w:line="240" w:lineRule="auto"/>
              <w:ind w:firstLine="0"/>
              <w:rPr>
                <w:sz w:val="24"/>
                <w:szCs w:val="24"/>
              </w:rPr>
            </w:pPr>
            <w:r w:rsidRPr="00D03FB5">
              <w:rPr>
                <w:b/>
                <w:sz w:val="24"/>
                <w:szCs w:val="24"/>
              </w:rPr>
              <w:t>TOTALS</w:t>
            </w:r>
          </w:p>
        </w:tc>
        <w:tc>
          <w:tcPr>
            <w:tcW w:w="566" w:type="pct"/>
            <w:vAlign w:val="center"/>
          </w:tcPr>
          <w:p w:rsidR="00DF459B" w:rsidRPr="00D03FB5" w:rsidRDefault="00DF459B" w:rsidP="001031EB">
            <w:pPr>
              <w:spacing w:line="240" w:lineRule="auto"/>
              <w:ind w:hanging="72"/>
              <w:jc w:val="center"/>
              <w:rPr>
                <w:b/>
                <w:sz w:val="24"/>
                <w:szCs w:val="24"/>
              </w:rPr>
            </w:pPr>
            <w:r w:rsidRPr="00D03FB5">
              <w:rPr>
                <w:b/>
                <w:sz w:val="24"/>
                <w:szCs w:val="24"/>
              </w:rPr>
              <w:t>206,014</w:t>
            </w:r>
          </w:p>
        </w:tc>
        <w:tc>
          <w:tcPr>
            <w:tcW w:w="557" w:type="pct"/>
            <w:vAlign w:val="center"/>
          </w:tcPr>
          <w:p w:rsidR="00DF459B" w:rsidRPr="00D03FB5" w:rsidRDefault="00DF459B" w:rsidP="001031EB">
            <w:pPr>
              <w:spacing w:line="240" w:lineRule="auto"/>
              <w:ind w:firstLine="0"/>
              <w:jc w:val="center"/>
              <w:rPr>
                <w:b/>
                <w:sz w:val="24"/>
                <w:szCs w:val="24"/>
              </w:rPr>
            </w:pPr>
            <w:r w:rsidRPr="00D03FB5">
              <w:rPr>
                <w:b/>
                <w:sz w:val="24"/>
                <w:szCs w:val="24"/>
              </w:rPr>
              <w:t>100.001%</w:t>
            </w:r>
          </w:p>
        </w:tc>
        <w:tc>
          <w:tcPr>
            <w:tcW w:w="619" w:type="pct"/>
            <w:vAlign w:val="center"/>
          </w:tcPr>
          <w:p w:rsidR="00DF459B" w:rsidRPr="00D03FB5" w:rsidRDefault="00DF459B" w:rsidP="001031EB">
            <w:pPr>
              <w:spacing w:line="240" w:lineRule="auto"/>
              <w:ind w:firstLine="0"/>
              <w:jc w:val="center"/>
              <w:rPr>
                <w:b/>
                <w:sz w:val="24"/>
                <w:szCs w:val="24"/>
              </w:rPr>
            </w:pPr>
            <w:r w:rsidRPr="00D03FB5">
              <w:rPr>
                <w:b/>
                <w:sz w:val="24"/>
                <w:szCs w:val="24"/>
              </w:rPr>
              <w:t>99.998%</w:t>
            </w:r>
          </w:p>
        </w:tc>
        <w:tc>
          <w:tcPr>
            <w:tcW w:w="597" w:type="pct"/>
            <w:vAlign w:val="center"/>
          </w:tcPr>
          <w:p w:rsidR="00DF459B" w:rsidRPr="00D03FB5" w:rsidRDefault="00DF459B" w:rsidP="001031EB">
            <w:pPr>
              <w:spacing w:line="240" w:lineRule="auto"/>
              <w:ind w:firstLine="0"/>
              <w:jc w:val="center"/>
              <w:rPr>
                <w:b/>
                <w:sz w:val="24"/>
                <w:szCs w:val="24"/>
              </w:rPr>
            </w:pPr>
            <w:r w:rsidRPr="00D03FB5">
              <w:rPr>
                <w:b/>
                <w:sz w:val="24"/>
                <w:szCs w:val="24"/>
              </w:rPr>
              <w:t>194,035</w:t>
            </w:r>
          </w:p>
        </w:tc>
        <w:tc>
          <w:tcPr>
            <w:tcW w:w="597" w:type="pct"/>
            <w:vAlign w:val="center"/>
          </w:tcPr>
          <w:p w:rsidR="00DF459B" w:rsidRPr="00D03FB5" w:rsidRDefault="00DF459B" w:rsidP="001031EB">
            <w:pPr>
              <w:spacing w:line="240" w:lineRule="auto"/>
              <w:ind w:firstLine="0"/>
              <w:jc w:val="center"/>
              <w:rPr>
                <w:sz w:val="24"/>
                <w:szCs w:val="24"/>
              </w:rPr>
            </w:pPr>
          </w:p>
        </w:tc>
        <w:tc>
          <w:tcPr>
            <w:tcW w:w="558" w:type="pct"/>
            <w:vAlign w:val="center"/>
          </w:tcPr>
          <w:p w:rsidR="00DF459B" w:rsidRPr="00D03FB5" w:rsidRDefault="00DF459B" w:rsidP="001031EB">
            <w:pPr>
              <w:spacing w:line="240" w:lineRule="auto"/>
              <w:ind w:firstLine="0"/>
              <w:jc w:val="center"/>
              <w:rPr>
                <w:sz w:val="24"/>
                <w:szCs w:val="24"/>
              </w:rPr>
            </w:pPr>
          </w:p>
        </w:tc>
        <w:tc>
          <w:tcPr>
            <w:tcW w:w="438" w:type="pct"/>
            <w:vAlign w:val="center"/>
          </w:tcPr>
          <w:p w:rsidR="00DF459B" w:rsidRPr="00D03FB5" w:rsidRDefault="00DF459B" w:rsidP="001031EB">
            <w:pPr>
              <w:spacing w:line="240" w:lineRule="auto"/>
              <w:ind w:firstLine="0"/>
              <w:jc w:val="center"/>
              <w:rPr>
                <w:sz w:val="24"/>
                <w:szCs w:val="24"/>
              </w:rPr>
            </w:pPr>
          </w:p>
        </w:tc>
      </w:tr>
    </w:tbl>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r w:rsidRPr="00D03FB5">
        <w:rPr>
          <w:sz w:val="24"/>
          <w:szCs w:val="24"/>
        </w:rPr>
        <w:t>The Employer Size category of 15-100 Employees was the only variable category which had significantly more male than female allegations. Similarly, the Employer Size category of 501+ Employees was the only variable category which had significantly more female than male allegations. All other variable categories for the variable of Employer Size showed no significant differences in the proportion of male and female allegations:  Null; 101-200 Employees; and 201-500 Employees. Employer Size Results are shown in Table 2, including z scores.</w:t>
      </w:r>
    </w:p>
    <w:p w:rsidR="00DF459B" w:rsidRPr="00D03FB5" w:rsidRDefault="00DF459B" w:rsidP="00DF459B">
      <w:pPr>
        <w:spacing w:line="240" w:lineRule="auto"/>
        <w:rPr>
          <w:sz w:val="24"/>
          <w:szCs w:val="24"/>
        </w:rPr>
      </w:pPr>
    </w:p>
    <w:p w:rsidR="00DF459B" w:rsidRPr="00D03FB5" w:rsidRDefault="00DF459B" w:rsidP="00DF459B">
      <w:pPr>
        <w:spacing w:line="240" w:lineRule="auto"/>
        <w:ind w:firstLine="0"/>
        <w:jc w:val="both"/>
        <w:rPr>
          <w:b/>
          <w:sz w:val="24"/>
          <w:szCs w:val="24"/>
        </w:rPr>
      </w:pPr>
      <w:r w:rsidRPr="00D03FB5">
        <w:rPr>
          <w:b/>
          <w:sz w:val="24"/>
          <w:szCs w:val="24"/>
        </w:rPr>
        <w:t>Table 2: Distribution of Allegations by Employer Size:  Males vs. Females Ranked by Z-Score</w:t>
      </w:r>
    </w:p>
    <w:p w:rsidR="00DF459B" w:rsidRPr="00D03FB5" w:rsidRDefault="00DF459B" w:rsidP="00DF459B">
      <w:pPr>
        <w:spacing w:line="240" w:lineRule="auto"/>
        <w:ind w:firstLine="0"/>
        <w:rPr>
          <w:b/>
          <w:sz w:val="24"/>
          <w:szCs w:val="24"/>
        </w:rPr>
      </w:pPr>
    </w:p>
    <w:tbl>
      <w:tblPr>
        <w:tblW w:w="5677" w:type="pct"/>
        <w:jc w:val="center"/>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5"/>
        <w:gridCol w:w="1244"/>
        <w:gridCol w:w="1257"/>
        <w:gridCol w:w="1531"/>
        <w:gridCol w:w="1620"/>
        <w:gridCol w:w="1437"/>
        <w:gridCol w:w="900"/>
        <w:gridCol w:w="989"/>
      </w:tblGrid>
      <w:tr w:rsidR="00DF459B" w:rsidRPr="00D03FB5" w:rsidTr="001031EB">
        <w:trPr>
          <w:jc w:val="center"/>
        </w:trPr>
        <w:tc>
          <w:tcPr>
            <w:tcW w:w="871"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firstLine="0"/>
              <w:rPr>
                <w:b/>
                <w:sz w:val="24"/>
                <w:szCs w:val="24"/>
              </w:rPr>
            </w:pPr>
            <w:r w:rsidRPr="00D03FB5">
              <w:rPr>
                <w:b/>
                <w:sz w:val="24"/>
                <w:szCs w:val="24"/>
              </w:rPr>
              <w:t>Employer Size</w:t>
            </w:r>
          </w:p>
        </w:tc>
        <w:tc>
          <w:tcPr>
            <w:tcW w:w="572"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firstLine="0"/>
              <w:jc w:val="center"/>
              <w:rPr>
                <w:b/>
                <w:sz w:val="24"/>
                <w:szCs w:val="24"/>
              </w:rPr>
            </w:pPr>
            <w:r w:rsidRPr="00D03FB5">
              <w:rPr>
                <w:b/>
                <w:sz w:val="24"/>
                <w:szCs w:val="24"/>
              </w:rPr>
              <w:t>MALES</w:t>
            </w:r>
          </w:p>
          <w:p w:rsidR="00DF459B" w:rsidRPr="00D03FB5" w:rsidRDefault="00DF459B" w:rsidP="001031EB">
            <w:pPr>
              <w:spacing w:line="240" w:lineRule="auto"/>
              <w:ind w:firstLine="0"/>
              <w:jc w:val="center"/>
              <w:rPr>
                <w:b/>
                <w:sz w:val="24"/>
                <w:szCs w:val="24"/>
              </w:rPr>
            </w:pPr>
            <w:r w:rsidRPr="00D03FB5">
              <w:rPr>
                <w:b/>
                <w:sz w:val="24"/>
                <w:szCs w:val="24"/>
              </w:rPr>
              <w:t>n</w:t>
            </w:r>
          </w:p>
        </w:tc>
        <w:tc>
          <w:tcPr>
            <w:tcW w:w="578"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firstLine="0"/>
              <w:jc w:val="center"/>
              <w:rPr>
                <w:b/>
                <w:sz w:val="24"/>
                <w:szCs w:val="24"/>
              </w:rPr>
            </w:pPr>
            <w:r w:rsidRPr="00D03FB5">
              <w:rPr>
                <w:b/>
                <w:sz w:val="24"/>
                <w:szCs w:val="24"/>
              </w:rPr>
              <w:t>MALES</w:t>
            </w:r>
          </w:p>
          <w:p w:rsidR="00DF459B" w:rsidRPr="00D03FB5" w:rsidRDefault="00DF459B" w:rsidP="001031EB">
            <w:pPr>
              <w:spacing w:line="240" w:lineRule="auto"/>
              <w:ind w:firstLine="0"/>
              <w:jc w:val="center"/>
              <w:rPr>
                <w:b/>
                <w:sz w:val="24"/>
                <w:szCs w:val="24"/>
              </w:rPr>
            </w:pPr>
            <w:r w:rsidRPr="00D03FB5">
              <w:rPr>
                <w:b/>
                <w:sz w:val="24"/>
                <w:szCs w:val="24"/>
              </w:rPr>
              <w:t>%</w:t>
            </w:r>
          </w:p>
        </w:tc>
        <w:tc>
          <w:tcPr>
            <w:tcW w:w="704"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firstLine="0"/>
              <w:jc w:val="center"/>
              <w:rPr>
                <w:b/>
                <w:sz w:val="24"/>
                <w:szCs w:val="24"/>
              </w:rPr>
            </w:pPr>
            <w:r w:rsidRPr="00D03FB5">
              <w:rPr>
                <w:b/>
                <w:sz w:val="24"/>
                <w:szCs w:val="24"/>
              </w:rPr>
              <w:t>FEMALES</w:t>
            </w:r>
          </w:p>
          <w:p w:rsidR="00DF459B" w:rsidRPr="00D03FB5" w:rsidRDefault="00DF459B" w:rsidP="001031EB">
            <w:pPr>
              <w:spacing w:line="240" w:lineRule="auto"/>
              <w:ind w:firstLine="0"/>
              <w:jc w:val="center"/>
              <w:rPr>
                <w:b/>
                <w:sz w:val="24"/>
                <w:szCs w:val="24"/>
              </w:rPr>
            </w:pPr>
            <w:r w:rsidRPr="00D03FB5">
              <w:rPr>
                <w:b/>
                <w:sz w:val="24"/>
                <w:szCs w:val="24"/>
              </w:rPr>
              <w:t>%</w:t>
            </w:r>
          </w:p>
        </w:tc>
        <w:tc>
          <w:tcPr>
            <w:tcW w:w="745"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firstLine="7"/>
              <w:jc w:val="center"/>
              <w:rPr>
                <w:b/>
                <w:sz w:val="24"/>
                <w:szCs w:val="24"/>
              </w:rPr>
            </w:pPr>
            <w:r w:rsidRPr="00D03FB5">
              <w:rPr>
                <w:b/>
                <w:sz w:val="24"/>
                <w:szCs w:val="24"/>
              </w:rPr>
              <w:t>FEMALES</w:t>
            </w:r>
          </w:p>
          <w:p w:rsidR="00DF459B" w:rsidRPr="00D03FB5" w:rsidRDefault="00DF459B" w:rsidP="001031EB">
            <w:pPr>
              <w:spacing w:line="240" w:lineRule="auto"/>
              <w:ind w:firstLine="7"/>
              <w:jc w:val="center"/>
              <w:rPr>
                <w:sz w:val="24"/>
                <w:szCs w:val="24"/>
              </w:rPr>
            </w:pPr>
            <w:r w:rsidRPr="00D03FB5">
              <w:rPr>
                <w:b/>
                <w:sz w:val="24"/>
                <w:szCs w:val="24"/>
              </w:rPr>
              <w:t>n</w:t>
            </w:r>
          </w:p>
        </w:tc>
        <w:tc>
          <w:tcPr>
            <w:tcW w:w="661"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firstLine="0"/>
              <w:jc w:val="center"/>
              <w:rPr>
                <w:b/>
                <w:sz w:val="24"/>
                <w:szCs w:val="24"/>
              </w:rPr>
            </w:pPr>
            <w:r w:rsidRPr="00D03FB5">
              <w:rPr>
                <w:b/>
                <w:sz w:val="24"/>
                <w:szCs w:val="24"/>
              </w:rPr>
              <w:t>Favors</w:t>
            </w:r>
          </w:p>
          <w:p w:rsidR="00DF459B" w:rsidRPr="00D03FB5" w:rsidRDefault="00DF459B" w:rsidP="001031EB">
            <w:pPr>
              <w:spacing w:line="240" w:lineRule="auto"/>
              <w:ind w:firstLine="0"/>
              <w:jc w:val="center"/>
              <w:rPr>
                <w:b/>
                <w:sz w:val="24"/>
                <w:szCs w:val="24"/>
              </w:rPr>
            </w:pPr>
            <w:r w:rsidRPr="00D03FB5">
              <w:rPr>
                <w:b/>
                <w:sz w:val="24"/>
                <w:szCs w:val="24"/>
              </w:rPr>
              <w:t>Whom?</w:t>
            </w:r>
          </w:p>
        </w:tc>
        <w:tc>
          <w:tcPr>
            <w:tcW w:w="414"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firstLine="0"/>
              <w:jc w:val="center"/>
              <w:rPr>
                <w:b/>
                <w:sz w:val="24"/>
                <w:szCs w:val="24"/>
              </w:rPr>
            </w:pPr>
            <w:r w:rsidRPr="00D03FB5">
              <w:rPr>
                <w:b/>
                <w:sz w:val="24"/>
                <w:szCs w:val="24"/>
              </w:rPr>
              <w:t>z-</w:t>
            </w:r>
          </w:p>
          <w:p w:rsidR="00DF459B" w:rsidRPr="00D03FB5" w:rsidRDefault="00DF459B" w:rsidP="001031EB">
            <w:pPr>
              <w:spacing w:line="240" w:lineRule="auto"/>
              <w:ind w:firstLine="0"/>
              <w:jc w:val="center"/>
              <w:rPr>
                <w:b/>
                <w:sz w:val="24"/>
                <w:szCs w:val="24"/>
              </w:rPr>
            </w:pPr>
            <w:r w:rsidRPr="00D03FB5">
              <w:rPr>
                <w:b/>
                <w:sz w:val="24"/>
                <w:szCs w:val="24"/>
              </w:rPr>
              <w:t>Score</w:t>
            </w:r>
          </w:p>
        </w:tc>
        <w:tc>
          <w:tcPr>
            <w:tcW w:w="455" w:type="pct"/>
            <w:tcBorders>
              <w:top w:val="single" w:sz="4" w:space="0" w:color="auto"/>
              <w:left w:val="single" w:sz="4" w:space="0" w:color="auto"/>
              <w:bottom w:val="single" w:sz="4" w:space="0" w:color="auto"/>
              <w:right w:val="single" w:sz="4" w:space="0" w:color="auto"/>
            </w:tcBorders>
          </w:tcPr>
          <w:p w:rsidR="00DF459B" w:rsidRPr="00D03FB5" w:rsidRDefault="00DF459B" w:rsidP="001031EB">
            <w:pPr>
              <w:spacing w:line="240" w:lineRule="auto"/>
              <w:ind w:firstLine="0"/>
              <w:jc w:val="center"/>
              <w:rPr>
                <w:b/>
                <w:sz w:val="24"/>
                <w:szCs w:val="24"/>
              </w:rPr>
            </w:pPr>
            <w:r w:rsidRPr="00D03FB5">
              <w:rPr>
                <w:b/>
                <w:sz w:val="24"/>
                <w:szCs w:val="24"/>
              </w:rPr>
              <w:t>p</w:t>
            </w:r>
          </w:p>
          <w:p w:rsidR="00DF459B" w:rsidRPr="00D03FB5" w:rsidRDefault="00DF459B" w:rsidP="001031EB">
            <w:pPr>
              <w:spacing w:line="240" w:lineRule="auto"/>
              <w:ind w:firstLine="0"/>
              <w:jc w:val="center"/>
              <w:rPr>
                <w:b/>
                <w:sz w:val="24"/>
                <w:szCs w:val="24"/>
              </w:rPr>
            </w:pPr>
            <w:r w:rsidRPr="00D03FB5">
              <w:rPr>
                <w:b/>
                <w:sz w:val="24"/>
                <w:szCs w:val="24"/>
              </w:rPr>
              <w:t>Value</w:t>
            </w:r>
          </w:p>
        </w:tc>
      </w:tr>
      <w:tr w:rsidR="00DF459B" w:rsidRPr="00D03FB5" w:rsidTr="001031EB">
        <w:trPr>
          <w:jc w:val="center"/>
        </w:trPr>
        <w:tc>
          <w:tcPr>
            <w:tcW w:w="871" w:type="pct"/>
          </w:tcPr>
          <w:p w:rsidR="00DF459B" w:rsidRPr="00D03FB5" w:rsidRDefault="00DF459B" w:rsidP="001031EB">
            <w:pPr>
              <w:spacing w:line="240" w:lineRule="auto"/>
              <w:ind w:firstLine="0"/>
              <w:rPr>
                <w:sz w:val="24"/>
                <w:szCs w:val="24"/>
              </w:rPr>
            </w:pPr>
            <w:r w:rsidRPr="00D03FB5">
              <w:rPr>
                <w:sz w:val="24"/>
                <w:szCs w:val="24"/>
              </w:rPr>
              <w:t>15-100 Employees</w:t>
            </w:r>
          </w:p>
        </w:tc>
        <w:tc>
          <w:tcPr>
            <w:tcW w:w="572" w:type="pct"/>
          </w:tcPr>
          <w:p w:rsidR="00DF459B" w:rsidRPr="00D03FB5" w:rsidRDefault="00DF459B" w:rsidP="001031EB">
            <w:pPr>
              <w:spacing w:line="240" w:lineRule="auto"/>
              <w:ind w:firstLine="0"/>
              <w:jc w:val="center"/>
              <w:rPr>
                <w:sz w:val="24"/>
                <w:szCs w:val="24"/>
              </w:rPr>
            </w:pPr>
            <w:r w:rsidRPr="00D03FB5">
              <w:rPr>
                <w:sz w:val="24"/>
                <w:szCs w:val="24"/>
              </w:rPr>
              <w:t>65,222</w:t>
            </w:r>
          </w:p>
        </w:tc>
        <w:tc>
          <w:tcPr>
            <w:tcW w:w="578" w:type="pct"/>
          </w:tcPr>
          <w:p w:rsidR="00DF459B" w:rsidRPr="00D03FB5" w:rsidRDefault="00DF459B" w:rsidP="001031EB">
            <w:pPr>
              <w:spacing w:line="240" w:lineRule="auto"/>
              <w:ind w:firstLine="0"/>
              <w:jc w:val="center"/>
              <w:rPr>
                <w:sz w:val="24"/>
                <w:szCs w:val="24"/>
              </w:rPr>
            </w:pPr>
            <w:r w:rsidRPr="00D03FB5">
              <w:rPr>
                <w:sz w:val="24"/>
                <w:szCs w:val="24"/>
              </w:rPr>
              <w:t>31.659</w:t>
            </w:r>
          </w:p>
        </w:tc>
        <w:tc>
          <w:tcPr>
            <w:tcW w:w="704" w:type="pct"/>
          </w:tcPr>
          <w:p w:rsidR="00DF459B" w:rsidRPr="00D03FB5" w:rsidRDefault="00DF459B" w:rsidP="001031EB">
            <w:pPr>
              <w:tabs>
                <w:tab w:val="left" w:pos="1260"/>
              </w:tabs>
              <w:spacing w:line="240" w:lineRule="auto"/>
              <w:ind w:firstLine="0"/>
              <w:jc w:val="center"/>
              <w:rPr>
                <w:sz w:val="24"/>
                <w:szCs w:val="24"/>
              </w:rPr>
            </w:pPr>
            <w:r w:rsidRPr="00D03FB5">
              <w:rPr>
                <w:sz w:val="24"/>
                <w:szCs w:val="24"/>
              </w:rPr>
              <w:t>30.543</w:t>
            </w:r>
          </w:p>
        </w:tc>
        <w:tc>
          <w:tcPr>
            <w:tcW w:w="745" w:type="pct"/>
          </w:tcPr>
          <w:p w:rsidR="00DF459B" w:rsidRPr="00D03FB5" w:rsidRDefault="00DF459B" w:rsidP="001031EB">
            <w:pPr>
              <w:spacing w:line="240" w:lineRule="auto"/>
              <w:ind w:firstLine="7"/>
              <w:jc w:val="center"/>
              <w:rPr>
                <w:sz w:val="24"/>
                <w:szCs w:val="24"/>
              </w:rPr>
            </w:pPr>
            <w:r w:rsidRPr="00D03FB5">
              <w:rPr>
                <w:sz w:val="24"/>
                <w:szCs w:val="24"/>
              </w:rPr>
              <w:t>59,264</w:t>
            </w:r>
          </w:p>
        </w:tc>
        <w:tc>
          <w:tcPr>
            <w:tcW w:w="661" w:type="pct"/>
          </w:tcPr>
          <w:p w:rsidR="00DF459B" w:rsidRPr="00D03FB5" w:rsidRDefault="00DF459B" w:rsidP="001031EB">
            <w:pPr>
              <w:spacing w:line="240" w:lineRule="auto"/>
              <w:ind w:firstLine="0"/>
              <w:jc w:val="center"/>
              <w:rPr>
                <w:sz w:val="24"/>
                <w:szCs w:val="24"/>
              </w:rPr>
            </w:pPr>
            <w:r w:rsidRPr="00D03FB5">
              <w:rPr>
                <w:sz w:val="24"/>
                <w:szCs w:val="24"/>
              </w:rPr>
              <w:t>MALES</w:t>
            </w:r>
          </w:p>
        </w:tc>
        <w:tc>
          <w:tcPr>
            <w:tcW w:w="414" w:type="pct"/>
          </w:tcPr>
          <w:p w:rsidR="00DF459B" w:rsidRPr="00D03FB5" w:rsidRDefault="00DF459B" w:rsidP="001031EB">
            <w:pPr>
              <w:spacing w:line="240" w:lineRule="auto"/>
              <w:ind w:firstLine="0"/>
              <w:jc w:val="center"/>
              <w:rPr>
                <w:sz w:val="24"/>
                <w:szCs w:val="24"/>
              </w:rPr>
            </w:pPr>
            <w:r w:rsidRPr="00D03FB5">
              <w:rPr>
                <w:sz w:val="24"/>
                <w:szCs w:val="24"/>
              </w:rPr>
              <w:t>7.62</w:t>
            </w:r>
          </w:p>
        </w:tc>
        <w:tc>
          <w:tcPr>
            <w:tcW w:w="455"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871" w:type="pct"/>
          </w:tcPr>
          <w:p w:rsidR="00DF459B" w:rsidRPr="00D03FB5" w:rsidRDefault="00DF459B" w:rsidP="001031EB">
            <w:pPr>
              <w:spacing w:line="240" w:lineRule="auto"/>
              <w:ind w:firstLine="0"/>
              <w:rPr>
                <w:sz w:val="24"/>
                <w:szCs w:val="24"/>
              </w:rPr>
            </w:pPr>
            <w:r w:rsidRPr="00D03FB5">
              <w:rPr>
                <w:sz w:val="24"/>
                <w:szCs w:val="24"/>
              </w:rPr>
              <w:t>Null</w:t>
            </w:r>
          </w:p>
        </w:tc>
        <w:tc>
          <w:tcPr>
            <w:tcW w:w="572" w:type="pct"/>
          </w:tcPr>
          <w:p w:rsidR="00DF459B" w:rsidRPr="00D03FB5" w:rsidRDefault="00DF459B" w:rsidP="001031EB">
            <w:pPr>
              <w:spacing w:line="240" w:lineRule="auto"/>
              <w:ind w:firstLine="0"/>
              <w:jc w:val="center"/>
              <w:rPr>
                <w:sz w:val="24"/>
                <w:szCs w:val="24"/>
              </w:rPr>
            </w:pPr>
            <w:r w:rsidRPr="00D03FB5">
              <w:rPr>
                <w:sz w:val="24"/>
                <w:szCs w:val="24"/>
              </w:rPr>
              <w:t>11,392</w:t>
            </w:r>
          </w:p>
        </w:tc>
        <w:tc>
          <w:tcPr>
            <w:tcW w:w="578" w:type="pct"/>
          </w:tcPr>
          <w:p w:rsidR="00DF459B" w:rsidRPr="00D03FB5" w:rsidRDefault="00DF459B" w:rsidP="001031EB">
            <w:pPr>
              <w:spacing w:line="240" w:lineRule="auto"/>
              <w:ind w:firstLine="0"/>
              <w:jc w:val="center"/>
              <w:rPr>
                <w:sz w:val="24"/>
                <w:szCs w:val="24"/>
              </w:rPr>
            </w:pPr>
            <w:r w:rsidRPr="00D03FB5">
              <w:rPr>
                <w:sz w:val="24"/>
                <w:szCs w:val="24"/>
              </w:rPr>
              <w:t>5.530</w:t>
            </w:r>
          </w:p>
        </w:tc>
        <w:tc>
          <w:tcPr>
            <w:tcW w:w="704" w:type="pct"/>
          </w:tcPr>
          <w:p w:rsidR="00DF459B" w:rsidRPr="00D03FB5" w:rsidRDefault="00DF459B" w:rsidP="001031EB">
            <w:pPr>
              <w:tabs>
                <w:tab w:val="left" w:pos="1260"/>
              </w:tabs>
              <w:spacing w:line="240" w:lineRule="auto"/>
              <w:ind w:firstLine="0"/>
              <w:jc w:val="center"/>
              <w:rPr>
                <w:sz w:val="24"/>
                <w:szCs w:val="24"/>
              </w:rPr>
            </w:pPr>
            <w:r w:rsidRPr="00D03FB5">
              <w:rPr>
                <w:sz w:val="24"/>
                <w:szCs w:val="24"/>
              </w:rPr>
              <w:t>5.295</w:t>
            </w:r>
          </w:p>
        </w:tc>
        <w:tc>
          <w:tcPr>
            <w:tcW w:w="745" w:type="pct"/>
          </w:tcPr>
          <w:p w:rsidR="00DF459B" w:rsidRPr="00D03FB5" w:rsidRDefault="00DF459B" w:rsidP="001031EB">
            <w:pPr>
              <w:spacing w:line="240" w:lineRule="auto"/>
              <w:ind w:firstLine="7"/>
              <w:jc w:val="center"/>
              <w:rPr>
                <w:sz w:val="24"/>
                <w:szCs w:val="24"/>
              </w:rPr>
            </w:pPr>
            <w:r w:rsidRPr="00D03FB5">
              <w:rPr>
                <w:sz w:val="24"/>
                <w:szCs w:val="24"/>
              </w:rPr>
              <w:t>10,275</w:t>
            </w:r>
          </w:p>
        </w:tc>
        <w:tc>
          <w:tcPr>
            <w:tcW w:w="661" w:type="pct"/>
          </w:tcPr>
          <w:p w:rsidR="00DF459B" w:rsidRPr="00D03FB5" w:rsidRDefault="00DF459B" w:rsidP="001031EB">
            <w:pPr>
              <w:spacing w:line="240" w:lineRule="auto"/>
              <w:ind w:firstLine="0"/>
              <w:jc w:val="center"/>
              <w:rPr>
                <w:sz w:val="24"/>
                <w:szCs w:val="24"/>
              </w:rPr>
            </w:pPr>
            <w:r w:rsidRPr="00D03FB5">
              <w:rPr>
                <w:sz w:val="24"/>
                <w:szCs w:val="24"/>
              </w:rPr>
              <w:t>NO SIG DIFF</w:t>
            </w:r>
          </w:p>
        </w:tc>
        <w:tc>
          <w:tcPr>
            <w:tcW w:w="414" w:type="pct"/>
          </w:tcPr>
          <w:p w:rsidR="00DF459B" w:rsidRPr="00D03FB5" w:rsidRDefault="00DF459B" w:rsidP="001031EB">
            <w:pPr>
              <w:spacing w:line="240" w:lineRule="auto"/>
              <w:ind w:firstLine="0"/>
              <w:jc w:val="center"/>
              <w:rPr>
                <w:sz w:val="24"/>
                <w:szCs w:val="24"/>
              </w:rPr>
            </w:pPr>
            <w:r w:rsidRPr="00D03FB5">
              <w:rPr>
                <w:sz w:val="24"/>
                <w:szCs w:val="24"/>
              </w:rPr>
              <w:t>3.27</w:t>
            </w:r>
          </w:p>
        </w:tc>
        <w:tc>
          <w:tcPr>
            <w:tcW w:w="455" w:type="pct"/>
          </w:tcPr>
          <w:p w:rsidR="00DF459B" w:rsidRPr="00D03FB5" w:rsidRDefault="00DF459B" w:rsidP="001031EB">
            <w:pPr>
              <w:spacing w:line="240" w:lineRule="auto"/>
              <w:ind w:firstLine="0"/>
              <w:jc w:val="center"/>
              <w:rPr>
                <w:sz w:val="24"/>
                <w:szCs w:val="24"/>
              </w:rPr>
            </w:pPr>
            <w:r w:rsidRPr="00D03FB5">
              <w:rPr>
                <w:sz w:val="24"/>
                <w:szCs w:val="24"/>
              </w:rPr>
              <w:t>0.001</w:t>
            </w:r>
          </w:p>
        </w:tc>
      </w:tr>
      <w:tr w:rsidR="00DF459B" w:rsidRPr="00D03FB5" w:rsidTr="001031EB">
        <w:trPr>
          <w:jc w:val="center"/>
        </w:trPr>
        <w:tc>
          <w:tcPr>
            <w:tcW w:w="871" w:type="pct"/>
          </w:tcPr>
          <w:p w:rsidR="00DF459B" w:rsidRPr="00D03FB5" w:rsidRDefault="00DF459B" w:rsidP="001031EB">
            <w:pPr>
              <w:spacing w:line="240" w:lineRule="auto"/>
              <w:ind w:firstLine="0"/>
              <w:rPr>
                <w:sz w:val="24"/>
                <w:szCs w:val="24"/>
              </w:rPr>
            </w:pPr>
            <w:r w:rsidRPr="00D03FB5">
              <w:rPr>
                <w:sz w:val="24"/>
                <w:szCs w:val="24"/>
              </w:rPr>
              <w:t>101-200 Employees</w:t>
            </w:r>
          </w:p>
        </w:tc>
        <w:tc>
          <w:tcPr>
            <w:tcW w:w="572" w:type="pct"/>
          </w:tcPr>
          <w:p w:rsidR="00DF459B" w:rsidRPr="00D03FB5" w:rsidRDefault="00DF459B" w:rsidP="001031EB">
            <w:pPr>
              <w:spacing w:line="240" w:lineRule="auto"/>
              <w:ind w:firstLine="0"/>
              <w:jc w:val="center"/>
              <w:rPr>
                <w:sz w:val="24"/>
                <w:szCs w:val="24"/>
              </w:rPr>
            </w:pPr>
            <w:r w:rsidRPr="00D03FB5">
              <w:rPr>
                <w:sz w:val="24"/>
                <w:szCs w:val="24"/>
              </w:rPr>
              <w:t>23,311</w:t>
            </w:r>
          </w:p>
        </w:tc>
        <w:tc>
          <w:tcPr>
            <w:tcW w:w="578" w:type="pct"/>
          </w:tcPr>
          <w:p w:rsidR="00DF459B" w:rsidRPr="00D03FB5" w:rsidRDefault="00DF459B" w:rsidP="001031EB">
            <w:pPr>
              <w:spacing w:line="240" w:lineRule="auto"/>
              <w:ind w:firstLine="0"/>
              <w:jc w:val="center"/>
              <w:rPr>
                <w:sz w:val="24"/>
                <w:szCs w:val="24"/>
              </w:rPr>
            </w:pPr>
            <w:r w:rsidRPr="00D03FB5">
              <w:rPr>
                <w:sz w:val="24"/>
                <w:szCs w:val="24"/>
              </w:rPr>
              <w:t>11.315</w:t>
            </w:r>
          </w:p>
        </w:tc>
        <w:tc>
          <w:tcPr>
            <w:tcW w:w="704" w:type="pct"/>
          </w:tcPr>
          <w:p w:rsidR="00DF459B" w:rsidRPr="00D03FB5" w:rsidRDefault="00DF459B" w:rsidP="001031EB">
            <w:pPr>
              <w:spacing w:line="240" w:lineRule="auto"/>
              <w:ind w:firstLine="0"/>
              <w:jc w:val="center"/>
              <w:rPr>
                <w:sz w:val="24"/>
                <w:szCs w:val="24"/>
              </w:rPr>
            </w:pPr>
            <w:r w:rsidRPr="00D03FB5">
              <w:rPr>
                <w:sz w:val="24"/>
                <w:szCs w:val="24"/>
              </w:rPr>
              <w:t>11.226</w:t>
            </w:r>
          </w:p>
        </w:tc>
        <w:tc>
          <w:tcPr>
            <w:tcW w:w="745" w:type="pct"/>
          </w:tcPr>
          <w:p w:rsidR="00DF459B" w:rsidRPr="00D03FB5" w:rsidRDefault="00DF459B" w:rsidP="001031EB">
            <w:pPr>
              <w:spacing w:line="240" w:lineRule="auto"/>
              <w:ind w:firstLine="7"/>
              <w:jc w:val="center"/>
              <w:rPr>
                <w:sz w:val="24"/>
                <w:szCs w:val="24"/>
              </w:rPr>
            </w:pPr>
            <w:r w:rsidRPr="00D03FB5">
              <w:rPr>
                <w:sz w:val="24"/>
                <w:szCs w:val="24"/>
              </w:rPr>
              <w:t>21,782</w:t>
            </w:r>
          </w:p>
        </w:tc>
        <w:tc>
          <w:tcPr>
            <w:tcW w:w="661" w:type="pct"/>
          </w:tcPr>
          <w:p w:rsidR="00DF459B" w:rsidRPr="00D03FB5" w:rsidRDefault="00DF459B" w:rsidP="001031EB">
            <w:pPr>
              <w:spacing w:line="240" w:lineRule="auto"/>
              <w:ind w:firstLine="0"/>
              <w:jc w:val="center"/>
              <w:rPr>
                <w:sz w:val="24"/>
                <w:szCs w:val="24"/>
              </w:rPr>
            </w:pPr>
            <w:r w:rsidRPr="00D03FB5">
              <w:rPr>
                <w:sz w:val="24"/>
                <w:szCs w:val="24"/>
              </w:rPr>
              <w:t>NO SIG</w:t>
            </w:r>
          </w:p>
          <w:p w:rsidR="00DF459B" w:rsidRPr="00D03FB5" w:rsidRDefault="00DF459B" w:rsidP="001031EB">
            <w:pPr>
              <w:spacing w:line="240" w:lineRule="auto"/>
              <w:ind w:firstLine="0"/>
              <w:jc w:val="center"/>
              <w:rPr>
                <w:sz w:val="24"/>
                <w:szCs w:val="24"/>
              </w:rPr>
            </w:pPr>
            <w:r w:rsidRPr="00D03FB5">
              <w:rPr>
                <w:sz w:val="24"/>
                <w:szCs w:val="24"/>
              </w:rPr>
              <w:t>DIFF</w:t>
            </w:r>
          </w:p>
        </w:tc>
        <w:tc>
          <w:tcPr>
            <w:tcW w:w="414" w:type="pct"/>
          </w:tcPr>
          <w:p w:rsidR="00DF459B" w:rsidRPr="00D03FB5" w:rsidRDefault="00DF459B" w:rsidP="001031EB">
            <w:pPr>
              <w:spacing w:line="240" w:lineRule="auto"/>
              <w:ind w:firstLine="0"/>
              <w:jc w:val="center"/>
              <w:rPr>
                <w:sz w:val="24"/>
                <w:szCs w:val="24"/>
              </w:rPr>
            </w:pPr>
            <w:r w:rsidRPr="00D03FB5">
              <w:rPr>
                <w:sz w:val="24"/>
                <w:szCs w:val="24"/>
              </w:rPr>
              <w:t>0.89</w:t>
            </w:r>
          </w:p>
        </w:tc>
        <w:tc>
          <w:tcPr>
            <w:tcW w:w="455" w:type="pct"/>
          </w:tcPr>
          <w:p w:rsidR="00DF459B" w:rsidRPr="00D03FB5" w:rsidRDefault="00DF459B" w:rsidP="001031EB">
            <w:pPr>
              <w:spacing w:line="240" w:lineRule="auto"/>
              <w:ind w:firstLine="0"/>
              <w:jc w:val="center"/>
              <w:rPr>
                <w:sz w:val="24"/>
                <w:szCs w:val="24"/>
              </w:rPr>
            </w:pPr>
            <w:r w:rsidRPr="00D03FB5">
              <w:rPr>
                <w:sz w:val="24"/>
                <w:szCs w:val="24"/>
              </w:rPr>
              <w:t>0.371</w:t>
            </w:r>
          </w:p>
        </w:tc>
      </w:tr>
      <w:tr w:rsidR="00DF459B" w:rsidRPr="00D03FB5" w:rsidTr="001031EB">
        <w:trPr>
          <w:jc w:val="center"/>
        </w:trPr>
        <w:tc>
          <w:tcPr>
            <w:tcW w:w="871" w:type="pct"/>
          </w:tcPr>
          <w:p w:rsidR="00DF459B" w:rsidRPr="00D03FB5" w:rsidRDefault="00DF459B" w:rsidP="001031EB">
            <w:pPr>
              <w:spacing w:line="240" w:lineRule="auto"/>
              <w:ind w:firstLine="0"/>
              <w:rPr>
                <w:sz w:val="24"/>
                <w:szCs w:val="24"/>
              </w:rPr>
            </w:pPr>
            <w:r w:rsidRPr="00D03FB5">
              <w:rPr>
                <w:sz w:val="24"/>
                <w:szCs w:val="24"/>
              </w:rPr>
              <w:t>201-500 Employees</w:t>
            </w:r>
          </w:p>
        </w:tc>
        <w:tc>
          <w:tcPr>
            <w:tcW w:w="572" w:type="pct"/>
          </w:tcPr>
          <w:p w:rsidR="00DF459B" w:rsidRPr="00D03FB5" w:rsidRDefault="00DF459B" w:rsidP="001031EB">
            <w:pPr>
              <w:spacing w:line="240" w:lineRule="auto"/>
              <w:ind w:firstLine="0"/>
              <w:jc w:val="center"/>
              <w:rPr>
                <w:sz w:val="24"/>
                <w:szCs w:val="24"/>
              </w:rPr>
            </w:pPr>
            <w:r w:rsidRPr="00D03FB5">
              <w:rPr>
                <w:sz w:val="24"/>
                <w:szCs w:val="24"/>
              </w:rPr>
              <w:t>21,777</w:t>
            </w:r>
          </w:p>
        </w:tc>
        <w:tc>
          <w:tcPr>
            <w:tcW w:w="578" w:type="pct"/>
          </w:tcPr>
          <w:p w:rsidR="00DF459B" w:rsidRPr="00D03FB5" w:rsidRDefault="00DF459B" w:rsidP="001031EB">
            <w:pPr>
              <w:spacing w:line="240" w:lineRule="auto"/>
              <w:ind w:firstLine="0"/>
              <w:jc w:val="center"/>
              <w:rPr>
                <w:sz w:val="24"/>
                <w:szCs w:val="24"/>
              </w:rPr>
            </w:pPr>
            <w:r w:rsidRPr="00D03FB5">
              <w:rPr>
                <w:sz w:val="24"/>
                <w:szCs w:val="24"/>
              </w:rPr>
              <w:t>10.571</w:t>
            </w:r>
          </w:p>
        </w:tc>
        <w:tc>
          <w:tcPr>
            <w:tcW w:w="704" w:type="pct"/>
          </w:tcPr>
          <w:p w:rsidR="00DF459B" w:rsidRPr="00D03FB5" w:rsidRDefault="00DF459B" w:rsidP="001031EB">
            <w:pPr>
              <w:spacing w:line="240" w:lineRule="auto"/>
              <w:ind w:firstLine="0"/>
              <w:jc w:val="center"/>
              <w:rPr>
                <w:sz w:val="24"/>
                <w:szCs w:val="24"/>
              </w:rPr>
            </w:pPr>
            <w:r w:rsidRPr="00D03FB5">
              <w:rPr>
                <w:sz w:val="24"/>
                <w:szCs w:val="24"/>
              </w:rPr>
              <w:t>10.652</w:t>
            </w:r>
          </w:p>
        </w:tc>
        <w:tc>
          <w:tcPr>
            <w:tcW w:w="745" w:type="pct"/>
          </w:tcPr>
          <w:p w:rsidR="00DF459B" w:rsidRPr="00D03FB5" w:rsidRDefault="00DF459B" w:rsidP="001031EB">
            <w:pPr>
              <w:spacing w:line="240" w:lineRule="auto"/>
              <w:ind w:firstLine="7"/>
              <w:jc w:val="center"/>
              <w:rPr>
                <w:sz w:val="24"/>
                <w:szCs w:val="24"/>
              </w:rPr>
            </w:pPr>
            <w:r w:rsidRPr="00D03FB5">
              <w:rPr>
                <w:sz w:val="24"/>
                <w:szCs w:val="24"/>
              </w:rPr>
              <w:t>20,668</w:t>
            </w:r>
          </w:p>
        </w:tc>
        <w:tc>
          <w:tcPr>
            <w:tcW w:w="661" w:type="pct"/>
          </w:tcPr>
          <w:p w:rsidR="00DF459B" w:rsidRPr="00D03FB5" w:rsidRDefault="00DF459B" w:rsidP="001031EB">
            <w:pPr>
              <w:spacing w:line="240" w:lineRule="auto"/>
              <w:ind w:firstLine="0"/>
              <w:jc w:val="center"/>
              <w:rPr>
                <w:sz w:val="24"/>
                <w:szCs w:val="24"/>
              </w:rPr>
            </w:pPr>
            <w:r w:rsidRPr="00D03FB5">
              <w:rPr>
                <w:sz w:val="24"/>
                <w:szCs w:val="24"/>
              </w:rPr>
              <w:t>NO SIG</w:t>
            </w:r>
          </w:p>
          <w:p w:rsidR="00DF459B" w:rsidRPr="00D03FB5" w:rsidRDefault="00DF459B" w:rsidP="001031EB">
            <w:pPr>
              <w:spacing w:line="240" w:lineRule="auto"/>
              <w:ind w:firstLine="0"/>
              <w:jc w:val="center"/>
              <w:rPr>
                <w:sz w:val="24"/>
                <w:szCs w:val="24"/>
              </w:rPr>
            </w:pPr>
            <w:r w:rsidRPr="00D03FB5">
              <w:rPr>
                <w:sz w:val="24"/>
                <w:szCs w:val="24"/>
              </w:rPr>
              <w:t>DIFF</w:t>
            </w:r>
          </w:p>
        </w:tc>
        <w:tc>
          <w:tcPr>
            <w:tcW w:w="414" w:type="pct"/>
          </w:tcPr>
          <w:p w:rsidR="00DF459B" w:rsidRPr="00D03FB5" w:rsidRDefault="00DF459B" w:rsidP="001031EB">
            <w:pPr>
              <w:spacing w:line="240" w:lineRule="auto"/>
              <w:ind w:firstLine="0"/>
              <w:jc w:val="center"/>
              <w:rPr>
                <w:sz w:val="24"/>
                <w:szCs w:val="24"/>
              </w:rPr>
            </w:pPr>
            <w:r w:rsidRPr="00D03FB5">
              <w:rPr>
                <w:sz w:val="24"/>
                <w:szCs w:val="24"/>
              </w:rPr>
              <w:t>-0.83</w:t>
            </w:r>
          </w:p>
        </w:tc>
        <w:tc>
          <w:tcPr>
            <w:tcW w:w="455" w:type="pct"/>
          </w:tcPr>
          <w:p w:rsidR="00DF459B" w:rsidRPr="00D03FB5" w:rsidRDefault="00DF459B" w:rsidP="001031EB">
            <w:pPr>
              <w:spacing w:line="240" w:lineRule="auto"/>
              <w:ind w:firstLine="0"/>
              <w:jc w:val="center"/>
              <w:rPr>
                <w:sz w:val="24"/>
                <w:szCs w:val="24"/>
              </w:rPr>
            </w:pPr>
            <w:r w:rsidRPr="00D03FB5">
              <w:rPr>
                <w:sz w:val="24"/>
                <w:szCs w:val="24"/>
              </w:rPr>
              <w:t>0.406</w:t>
            </w:r>
          </w:p>
        </w:tc>
      </w:tr>
      <w:tr w:rsidR="00DF459B" w:rsidRPr="00D03FB5" w:rsidTr="001031EB">
        <w:trPr>
          <w:jc w:val="center"/>
        </w:trPr>
        <w:tc>
          <w:tcPr>
            <w:tcW w:w="871" w:type="pct"/>
          </w:tcPr>
          <w:p w:rsidR="00DF459B" w:rsidRPr="00D03FB5" w:rsidRDefault="00DF459B" w:rsidP="001031EB">
            <w:pPr>
              <w:spacing w:line="240" w:lineRule="auto"/>
              <w:ind w:firstLine="0"/>
              <w:rPr>
                <w:sz w:val="24"/>
                <w:szCs w:val="24"/>
              </w:rPr>
            </w:pPr>
            <w:r w:rsidRPr="00D03FB5">
              <w:rPr>
                <w:sz w:val="24"/>
                <w:szCs w:val="24"/>
              </w:rPr>
              <w:t>501+ Employees</w:t>
            </w:r>
          </w:p>
        </w:tc>
        <w:tc>
          <w:tcPr>
            <w:tcW w:w="572" w:type="pct"/>
          </w:tcPr>
          <w:p w:rsidR="00DF459B" w:rsidRPr="00D03FB5" w:rsidRDefault="00DF459B" w:rsidP="001031EB">
            <w:pPr>
              <w:spacing w:line="240" w:lineRule="auto"/>
              <w:ind w:firstLine="0"/>
              <w:jc w:val="center"/>
              <w:rPr>
                <w:sz w:val="24"/>
                <w:szCs w:val="24"/>
              </w:rPr>
            </w:pPr>
            <w:r w:rsidRPr="00D03FB5">
              <w:rPr>
                <w:sz w:val="24"/>
                <w:szCs w:val="24"/>
              </w:rPr>
              <w:t>84,312</w:t>
            </w:r>
          </w:p>
        </w:tc>
        <w:tc>
          <w:tcPr>
            <w:tcW w:w="578" w:type="pct"/>
          </w:tcPr>
          <w:p w:rsidR="00DF459B" w:rsidRPr="00D03FB5" w:rsidRDefault="00DF459B" w:rsidP="001031EB">
            <w:pPr>
              <w:spacing w:line="240" w:lineRule="auto"/>
              <w:ind w:firstLine="0"/>
              <w:jc w:val="center"/>
              <w:rPr>
                <w:sz w:val="24"/>
                <w:szCs w:val="24"/>
              </w:rPr>
            </w:pPr>
            <w:r w:rsidRPr="00D03FB5">
              <w:rPr>
                <w:sz w:val="24"/>
                <w:szCs w:val="24"/>
              </w:rPr>
              <w:t>40.926</w:t>
            </w:r>
          </w:p>
        </w:tc>
        <w:tc>
          <w:tcPr>
            <w:tcW w:w="704" w:type="pct"/>
          </w:tcPr>
          <w:p w:rsidR="00DF459B" w:rsidRPr="00D03FB5" w:rsidRDefault="00DF459B" w:rsidP="001031EB">
            <w:pPr>
              <w:spacing w:line="240" w:lineRule="auto"/>
              <w:ind w:firstLine="0"/>
              <w:jc w:val="center"/>
              <w:rPr>
                <w:sz w:val="24"/>
                <w:szCs w:val="24"/>
              </w:rPr>
            </w:pPr>
            <w:r w:rsidRPr="00D03FB5">
              <w:rPr>
                <w:sz w:val="24"/>
                <w:szCs w:val="24"/>
              </w:rPr>
              <w:t>42.284</w:t>
            </w:r>
          </w:p>
        </w:tc>
        <w:tc>
          <w:tcPr>
            <w:tcW w:w="745" w:type="pct"/>
          </w:tcPr>
          <w:p w:rsidR="00DF459B" w:rsidRPr="00D03FB5" w:rsidRDefault="00DF459B" w:rsidP="001031EB">
            <w:pPr>
              <w:spacing w:line="240" w:lineRule="auto"/>
              <w:ind w:firstLine="7"/>
              <w:jc w:val="center"/>
              <w:rPr>
                <w:sz w:val="24"/>
                <w:szCs w:val="24"/>
              </w:rPr>
            </w:pPr>
            <w:r w:rsidRPr="00D03FB5">
              <w:rPr>
                <w:sz w:val="24"/>
                <w:szCs w:val="24"/>
              </w:rPr>
              <w:t>82,046</w:t>
            </w:r>
          </w:p>
        </w:tc>
        <w:tc>
          <w:tcPr>
            <w:tcW w:w="661" w:type="pct"/>
          </w:tcPr>
          <w:p w:rsidR="00DF459B" w:rsidRPr="00D03FB5" w:rsidRDefault="00DF459B" w:rsidP="001031EB">
            <w:pPr>
              <w:spacing w:line="240" w:lineRule="auto"/>
              <w:ind w:firstLine="0"/>
              <w:jc w:val="center"/>
              <w:rPr>
                <w:sz w:val="24"/>
                <w:szCs w:val="24"/>
              </w:rPr>
            </w:pPr>
            <w:r w:rsidRPr="00D03FB5">
              <w:rPr>
                <w:sz w:val="24"/>
                <w:szCs w:val="24"/>
              </w:rPr>
              <w:t>FEMALES</w:t>
            </w:r>
          </w:p>
        </w:tc>
        <w:tc>
          <w:tcPr>
            <w:tcW w:w="414" w:type="pct"/>
          </w:tcPr>
          <w:p w:rsidR="00DF459B" w:rsidRPr="00D03FB5" w:rsidRDefault="00DF459B" w:rsidP="001031EB">
            <w:pPr>
              <w:spacing w:line="240" w:lineRule="auto"/>
              <w:ind w:firstLine="0"/>
              <w:jc w:val="center"/>
              <w:rPr>
                <w:sz w:val="24"/>
                <w:szCs w:val="24"/>
              </w:rPr>
            </w:pPr>
            <w:r w:rsidRPr="00D03FB5">
              <w:rPr>
                <w:sz w:val="24"/>
                <w:szCs w:val="24"/>
              </w:rPr>
              <w:t>-8.71</w:t>
            </w:r>
          </w:p>
        </w:tc>
        <w:tc>
          <w:tcPr>
            <w:tcW w:w="455" w:type="pct"/>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jc w:val="center"/>
        </w:trPr>
        <w:tc>
          <w:tcPr>
            <w:tcW w:w="871" w:type="pct"/>
            <w:vAlign w:val="bottom"/>
          </w:tcPr>
          <w:p w:rsidR="00DF459B" w:rsidRPr="00D03FB5" w:rsidRDefault="00DF459B" w:rsidP="001031EB">
            <w:pPr>
              <w:spacing w:line="240" w:lineRule="auto"/>
              <w:ind w:firstLine="0"/>
              <w:rPr>
                <w:b/>
                <w:sz w:val="24"/>
                <w:szCs w:val="24"/>
              </w:rPr>
            </w:pPr>
          </w:p>
          <w:p w:rsidR="00DF459B" w:rsidRPr="00D03FB5" w:rsidRDefault="00DF459B" w:rsidP="001031EB">
            <w:pPr>
              <w:spacing w:line="240" w:lineRule="auto"/>
              <w:ind w:firstLine="0"/>
              <w:rPr>
                <w:sz w:val="24"/>
                <w:szCs w:val="24"/>
              </w:rPr>
            </w:pPr>
            <w:r w:rsidRPr="00D03FB5">
              <w:rPr>
                <w:b/>
                <w:sz w:val="24"/>
                <w:szCs w:val="24"/>
              </w:rPr>
              <w:t>TOTALS</w:t>
            </w:r>
          </w:p>
        </w:tc>
        <w:tc>
          <w:tcPr>
            <w:tcW w:w="572" w:type="pct"/>
            <w:vAlign w:val="bottom"/>
          </w:tcPr>
          <w:p w:rsidR="00DF459B" w:rsidRPr="00D03FB5" w:rsidRDefault="00DF459B" w:rsidP="001031EB">
            <w:pPr>
              <w:spacing w:line="240" w:lineRule="auto"/>
              <w:ind w:firstLine="0"/>
              <w:jc w:val="center"/>
              <w:rPr>
                <w:b/>
                <w:sz w:val="24"/>
                <w:szCs w:val="24"/>
              </w:rPr>
            </w:pPr>
            <w:r w:rsidRPr="00D03FB5">
              <w:rPr>
                <w:b/>
                <w:sz w:val="24"/>
                <w:szCs w:val="24"/>
              </w:rPr>
              <w:t>206,014</w:t>
            </w:r>
          </w:p>
        </w:tc>
        <w:tc>
          <w:tcPr>
            <w:tcW w:w="578" w:type="pct"/>
            <w:vAlign w:val="bottom"/>
          </w:tcPr>
          <w:p w:rsidR="00DF459B" w:rsidRPr="00D03FB5" w:rsidRDefault="00DF459B" w:rsidP="001031EB">
            <w:pPr>
              <w:spacing w:line="240" w:lineRule="auto"/>
              <w:ind w:firstLine="0"/>
              <w:jc w:val="center"/>
              <w:rPr>
                <w:b/>
                <w:sz w:val="24"/>
                <w:szCs w:val="24"/>
              </w:rPr>
            </w:pPr>
            <w:r w:rsidRPr="00D03FB5">
              <w:rPr>
                <w:b/>
                <w:sz w:val="24"/>
                <w:szCs w:val="24"/>
              </w:rPr>
              <w:t>100.001%</w:t>
            </w:r>
          </w:p>
        </w:tc>
        <w:tc>
          <w:tcPr>
            <w:tcW w:w="704" w:type="pct"/>
            <w:vAlign w:val="bottom"/>
          </w:tcPr>
          <w:p w:rsidR="00DF459B" w:rsidRPr="00D03FB5" w:rsidRDefault="00DF459B" w:rsidP="001031EB">
            <w:pPr>
              <w:spacing w:line="240" w:lineRule="auto"/>
              <w:ind w:firstLine="0"/>
              <w:jc w:val="center"/>
              <w:rPr>
                <w:b/>
                <w:sz w:val="24"/>
                <w:szCs w:val="24"/>
              </w:rPr>
            </w:pPr>
            <w:r w:rsidRPr="00D03FB5">
              <w:rPr>
                <w:b/>
                <w:sz w:val="24"/>
                <w:szCs w:val="24"/>
              </w:rPr>
              <w:t>100.000%</w:t>
            </w:r>
          </w:p>
        </w:tc>
        <w:tc>
          <w:tcPr>
            <w:tcW w:w="745" w:type="pct"/>
            <w:vAlign w:val="bottom"/>
          </w:tcPr>
          <w:p w:rsidR="00DF459B" w:rsidRPr="00D03FB5" w:rsidRDefault="00DF459B" w:rsidP="001031EB">
            <w:pPr>
              <w:spacing w:line="240" w:lineRule="auto"/>
              <w:ind w:firstLine="7"/>
              <w:jc w:val="center"/>
              <w:rPr>
                <w:b/>
                <w:sz w:val="24"/>
                <w:szCs w:val="24"/>
              </w:rPr>
            </w:pPr>
            <w:r w:rsidRPr="00D03FB5">
              <w:rPr>
                <w:b/>
                <w:sz w:val="24"/>
                <w:szCs w:val="24"/>
              </w:rPr>
              <w:t>194,035</w:t>
            </w:r>
          </w:p>
        </w:tc>
        <w:tc>
          <w:tcPr>
            <w:tcW w:w="661" w:type="pct"/>
          </w:tcPr>
          <w:p w:rsidR="00DF459B" w:rsidRPr="00D03FB5" w:rsidRDefault="00DF459B" w:rsidP="001031EB">
            <w:pPr>
              <w:spacing w:line="240" w:lineRule="auto"/>
              <w:ind w:firstLine="0"/>
              <w:jc w:val="center"/>
              <w:rPr>
                <w:sz w:val="24"/>
                <w:szCs w:val="24"/>
              </w:rPr>
            </w:pPr>
          </w:p>
        </w:tc>
        <w:tc>
          <w:tcPr>
            <w:tcW w:w="414" w:type="pct"/>
          </w:tcPr>
          <w:p w:rsidR="00DF459B" w:rsidRPr="00D03FB5" w:rsidRDefault="00DF459B" w:rsidP="001031EB">
            <w:pPr>
              <w:spacing w:line="240" w:lineRule="auto"/>
              <w:ind w:firstLine="0"/>
              <w:jc w:val="center"/>
              <w:rPr>
                <w:sz w:val="24"/>
                <w:szCs w:val="24"/>
              </w:rPr>
            </w:pPr>
          </w:p>
        </w:tc>
        <w:tc>
          <w:tcPr>
            <w:tcW w:w="455" w:type="pct"/>
          </w:tcPr>
          <w:p w:rsidR="00DF459B" w:rsidRPr="00D03FB5" w:rsidRDefault="00DF459B" w:rsidP="001031EB">
            <w:pPr>
              <w:spacing w:line="240" w:lineRule="auto"/>
              <w:ind w:firstLine="0"/>
              <w:jc w:val="center"/>
              <w:rPr>
                <w:sz w:val="24"/>
                <w:szCs w:val="24"/>
              </w:rPr>
            </w:pPr>
          </w:p>
        </w:tc>
      </w:tr>
    </w:tbl>
    <w:p w:rsidR="00DF459B" w:rsidRPr="00D03FB5" w:rsidRDefault="00DF459B" w:rsidP="00DF459B">
      <w:pPr>
        <w:spacing w:line="240" w:lineRule="auto"/>
        <w:rPr>
          <w:sz w:val="24"/>
          <w:szCs w:val="24"/>
        </w:rPr>
      </w:pPr>
      <w:r w:rsidRPr="00D03FB5">
        <w:rPr>
          <w:sz w:val="24"/>
          <w:szCs w:val="24"/>
        </w:rPr>
        <w:t>*p &lt; .001</w:t>
      </w: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r w:rsidRPr="00D03FB5">
        <w:rPr>
          <w:sz w:val="24"/>
          <w:szCs w:val="24"/>
        </w:rPr>
        <w:lastRenderedPageBreak/>
        <w:t>Two categories for the variable of Employer Region had significantly more male than female allegations: Northeast and Midwest. The only variable category for the variable of Employer Region that had significantly more female than male allegations was Null. Employer Region categories that showed no significant difference between the proportion of male and female allegations included:  West; Foreign and Territories; and South. Results for Employer Region, including z-scores, are depicted in Table 3.</w:t>
      </w:r>
    </w:p>
    <w:p w:rsidR="00DF459B" w:rsidRPr="00D03FB5" w:rsidRDefault="00DF459B" w:rsidP="00DF459B">
      <w:pPr>
        <w:spacing w:line="240" w:lineRule="auto"/>
        <w:rPr>
          <w:sz w:val="24"/>
          <w:szCs w:val="24"/>
        </w:rPr>
      </w:pPr>
    </w:p>
    <w:p w:rsidR="00DF459B" w:rsidRPr="00D03FB5" w:rsidRDefault="00DF459B" w:rsidP="00DF459B">
      <w:pPr>
        <w:spacing w:line="240" w:lineRule="auto"/>
        <w:ind w:firstLine="0"/>
        <w:rPr>
          <w:b/>
          <w:sz w:val="24"/>
          <w:szCs w:val="24"/>
        </w:rPr>
      </w:pPr>
      <w:r w:rsidRPr="00D03FB5">
        <w:rPr>
          <w:b/>
          <w:sz w:val="24"/>
          <w:szCs w:val="24"/>
        </w:rPr>
        <w:t>Table 3: Distribution of Allegations by Employer U.S. Census Region: Males vs. Females Ranked by Z-Score</w:t>
      </w:r>
    </w:p>
    <w:p w:rsidR="00DF459B" w:rsidRPr="00D03FB5" w:rsidRDefault="00DF459B" w:rsidP="00DF459B">
      <w:pPr>
        <w:spacing w:line="240" w:lineRule="auto"/>
        <w:jc w:val="center"/>
        <w:rPr>
          <w:b/>
          <w:sz w:val="24"/>
          <w:szCs w:val="24"/>
        </w:rPr>
      </w:pPr>
    </w:p>
    <w:tbl>
      <w:tblPr>
        <w:tblW w:w="5677" w:type="pct"/>
        <w:jc w:val="center"/>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bottom w:w="29" w:type="dxa"/>
          <w:right w:w="115" w:type="dxa"/>
        </w:tblCellMar>
        <w:tblLook w:val="04A0"/>
      </w:tblPr>
      <w:tblGrid>
        <w:gridCol w:w="1297"/>
        <w:gridCol w:w="1503"/>
        <w:gridCol w:w="1505"/>
        <w:gridCol w:w="1505"/>
        <w:gridCol w:w="1505"/>
        <w:gridCol w:w="1411"/>
        <w:gridCol w:w="1130"/>
        <w:gridCol w:w="1032"/>
      </w:tblGrid>
      <w:tr w:rsidR="00DF459B" w:rsidRPr="00D03FB5" w:rsidTr="001031EB">
        <w:trPr>
          <w:trHeight w:val="524"/>
          <w:jc w:val="center"/>
        </w:trPr>
        <w:tc>
          <w:tcPr>
            <w:tcW w:w="595" w:type="pct"/>
            <w:tcBorders>
              <w:top w:val="single" w:sz="4" w:space="0" w:color="auto"/>
              <w:left w:val="single" w:sz="4" w:space="0" w:color="auto"/>
              <w:bottom w:val="single" w:sz="4" w:space="0" w:color="auto"/>
              <w:right w:val="single" w:sz="4" w:space="0" w:color="auto"/>
            </w:tcBorders>
            <w:vAlign w:val="center"/>
          </w:tcPr>
          <w:p w:rsidR="00DF459B" w:rsidRPr="00D03FB5" w:rsidRDefault="00DF459B" w:rsidP="001031EB">
            <w:pPr>
              <w:spacing w:line="240" w:lineRule="auto"/>
              <w:ind w:firstLine="0"/>
              <w:rPr>
                <w:b/>
                <w:sz w:val="24"/>
                <w:szCs w:val="24"/>
              </w:rPr>
            </w:pPr>
            <w:r w:rsidRPr="00D03FB5">
              <w:rPr>
                <w:b/>
                <w:sz w:val="24"/>
                <w:szCs w:val="24"/>
              </w:rPr>
              <w:t>Region</w:t>
            </w:r>
          </w:p>
        </w:tc>
        <w:tc>
          <w:tcPr>
            <w:tcW w:w="690" w:type="pct"/>
            <w:tcBorders>
              <w:top w:val="single" w:sz="4" w:space="0" w:color="auto"/>
              <w:left w:val="single" w:sz="4" w:space="0" w:color="auto"/>
              <w:bottom w:val="single" w:sz="4" w:space="0" w:color="auto"/>
              <w:right w:val="single" w:sz="4" w:space="0" w:color="auto"/>
            </w:tcBorders>
            <w:vAlign w:val="center"/>
          </w:tcPr>
          <w:p w:rsidR="00DF459B" w:rsidRPr="00D03FB5" w:rsidRDefault="00DF459B" w:rsidP="001031EB">
            <w:pPr>
              <w:tabs>
                <w:tab w:val="left" w:pos="1330"/>
              </w:tabs>
              <w:spacing w:line="240" w:lineRule="auto"/>
              <w:ind w:firstLine="0"/>
              <w:jc w:val="center"/>
              <w:rPr>
                <w:b/>
                <w:sz w:val="24"/>
                <w:szCs w:val="24"/>
              </w:rPr>
            </w:pPr>
            <w:r w:rsidRPr="00D03FB5">
              <w:rPr>
                <w:b/>
                <w:sz w:val="24"/>
                <w:szCs w:val="24"/>
              </w:rPr>
              <w:t>Males</w:t>
            </w:r>
          </w:p>
          <w:p w:rsidR="00DF459B" w:rsidRPr="00D03FB5" w:rsidRDefault="00DF459B" w:rsidP="001031EB">
            <w:pPr>
              <w:tabs>
                <w:tab w:val="left" w:pos="1330"/>
              </w:tabs>
              <w:spacing w:line="240" w:lineRule="auto"/>
              <w:ind w:firstLine="0"/>
              <w:jc w:val="center"/>
              <w:rPr>
                <w:b/>
                <w:sz w:val="24"/>
                <w:szCs w:val="24"/>
              </w:rPr>
            </w:pPr>
            <w:r w:rsidRPr="00D03FB5">
              <w:rPr>
                <w:b/>
                <w:sz w:val="24"/>
                <w:szCs w:val="24"/>
              </w:rPr>
              <w:t>n</w:t>
            </w:r>
          </w:p>
        </w:tc>
        <w:tc>
          <w:tcPr>
            <w:tcW w:w="691" w:type="pct"/>
            <w:tcBorders>
              <w:top w:val="single" w:sz="4" w:space="0" w:color="auto"/>
              <w:left w:val="single" w:sz="4" w:space="0" w:color="auto"/>
              <w:bottom w:val="single" w:sz="4" w:space="0" w:color="auto"/>
              <w:right w:val="single" w:sz="4" w:space="0" w:color="auto"/>
            </w:tcBorders>
            <w:vAlign w:val="center"/>
          </w:tcPr>
          <w:p w:rsidR="00DF459B" w:rsidRPr="00D03FB5" w:rsidRDefault="00DF459B" w:rsidP="001031EB">
            <w:pPr>
              <w:spacing w:line="240" w:lineRule="auto"/>
              <w:ind w:firstLine="0"/>
              <w:jc w:val="center"/>
              <w:rPr>
                <w:b/>
                <w:sz w:val="24"/>
                <w:szCs w:val="24"/>
              </w:rPr>
            </w:pPr>
            <w:r w:rsidRPr="00D03FB5">
              <w:rPr>
                <w:b/>
                <w:sz w:val="24"/>
                <w:szCs w:val="24"/>
              </w:rPr>
              <w:t>Males</w:t>
            </w:r>
          </w:p>
          <w:p w:rsidR="00DF459B" w:rsidRPr="00D03FB5" w:rsidRDefault="00DF459B" w:rsidP="001031EB">
            <w:pPr>
              <w:spacing w:line="240" w:lineRule="auto"/>
              <w:ind w:firstLine="0"/>
              <w:jc w:val="center"/>
              <w:rPr>
                <w:b/>
                <w:sz w:val="24"/>
                <w:szCs w:val="24"/>
              </w:rPr>
            </w:pPr>
            <w:r w:rsidRPr="00D03FB5">
              <w:rPr>
                <w:b/>
                <w:sz w:val="24"/>
                <w:szCs w:val="24"/>
              </w:rPr>
              <w:t>%</w:t>
            </w:r>
          </w:p>
        </w:tc>
        <w:tc>
          <w:tcPr>
            <w:tcW w:w="691" w:type="pct"/>
            <w:tcBorders>
              <w:top w:val="single" w:sz="4" w:space="0" w:color="auto"/>
              <w:left w:val="single" w:sz="4" w:space="0" w:color="auto"/>
              <w:bottom w:val="single" w:sz="4" w:space="0" w:color="auto"/>
              <w:right w:val="single" w:sz="4" w:space="0" w:color="auto"/>
            </w:tcBorders>
            <w:vAlign w:val="center"/>
          </w:tcPr>
          <w:p w:rsidR="00DF459B" w:rsidRPr="00D03FB5" w:rsidRDefault="00DF459B" w:rsidP="001031EB">
            <w:pPr>
              <w:spacing w:line="240" w:lineRule="auto"/>
              <w:ind w:firstLine="0"/>
              <w:jc w:val="center"/>
              <w:rPr>
                <w:b/>
                <w:sz w:val="24"/>
                <w:szCs w:val="24"/>
              </w:rPr>
            </w:pPr>
            <w:r w:rsidRPr="00D03FB5">
              <w:rPr>
                <w:b/>
                <w:sz w:val="24"/>
                <w:szCs w:val="24"/>
              </w:rPr>
              <w:t>Females</w:t>
            </w:r>
          </w:p>
          <w:p w:rsidR="00DF459B" w:rsidRPr="00D03FB5" w:rsidRDefault="00DF459B" w:rsidP="001031EB">
            <w:pPr>
              <w:spacing w:line="240" w:lineRule="auto"/>
              <w:ind w:firstLine="0"/>
              <w:jc w:val="center"/>
              <w:rPr>
                <w:b/>
                <w:sz w:val="24"/>
                <w:szCs w:val="24"/>
              </w:rPr>
            </w:pPr>
            <w:r w:rsidRPr="00D03FB5">
              <w:rPr>
                <w:b/>
                <w:sz w:val="24"/>
                <w:szCs w:val="24"/>
              </w:rPr>
              <w:t>%</w:t>
            </w:r>
          </w:p>
        </w:tc>
        <w:tc>
          <w:tcPr>
            <w:tcW w:w="691" w:type="pct"/>
            <w:tcBorders>
              <w:top w:val="single" w:sz="4" w:space="0" w:color="auto"/>
              <w:left w:val="single" w:sz="4" w:space="0" w:color="auto"/>
              <w:bottom w:val="single" w:sz="4" w:space="0" w:color="auto"/>
              <w:right w:val="single" w:sz="4" w:space="0" w:color="auto"/>
            </w:tcBorders>
            <w:vAlign w:val="center"/>
          </w:tcPr>
          <w:p w:rsidR="00DF459B" w:rsidRPr="00D03FB5" w:rsidRDefault="00DF459B" w:rsidP="001031EB">
            <w:pPr>
              <w:spacing w:line="240" w:lineRule="auto"/>
              <w:ind w:hanging="10"/>
              <w:jc w:val="center"/>
              <w:rPr>
                <w:b/>
                <w:sz w:val="24"/>
                <w:szCs w:val="24"/>
              </w:rPr>
            </w:pPr>
            <w:r w:rsidRPr="00D03FB5">
              <w:rPr>
                <w:b/>
                <w:sz w:val="24"/>
                <w:szCs w:val="24"/>
              </w:rPr>
              <w:t>Females</w:t>
            </w:r>
          </w:p>
          <w:p w:rsidR="00DF459B" w:rsidRPr="00D03FB5" w:rsidRDefault="00DF459B" w:rsidP="001031EB">
            <w:pPr>
              <w:spacing w:line="240" w:lineRule="auto"/>
              <w:ind w:hanging="10"/>
              <w:jc w:val="center"/>
              <w:rPr>
                <w:sz w:val="24"/>
                <w:szCs w:val="24"/>
              </w:rPr>
            </w:pPr>
            <w:r w:rsidRPr="00D03FB5">
              <w:rPr>
                <w:b/>
                <w:sz w:val="24"/>
                <w:szCs w:val="24"/>
              </w:rPr>
              <w:t>n</w:t>
            </w:r>
          </w:p>
        </w:tc>
        <w:tc>
          <w:tcPr>
            <w:tcW w:w="648" w:type="pct"/>
            <w:tcBorders>
              <w:top w:val="single" w:sz="4" w:space="0" w:color="auto"/>
              <w:left w:val="single" w:sz="4" w:space="0" w:color="auto"/>
              <w:bottom w:val="single" w:sz="4" w:space="0" w:color="auto"/>
              <w:right w:val="single" w:sz="4" w:space="0" w:color="auto"/>
            </w:tcBorders>
            <w:vAlign w:val="center"/>
          </w:tcPr>
          <w:p w:rsidR="00DF459B" w:rsidRPr="00D03FB5" w:rsidRDefault="00DF459B" w:rsidP="001031EB">
            <w:pPr>
              <w:spacing w:line="240" w:lineRule="auto"/>
              <w:ind w:firstLine="0"/>
              <w:jc w:val="center"/>
              <w:rPr>
                <w:b/>
                <w:sz w:val="24"/>
                <w:szCs w:val="24"/>
              </w:rPr>
            </w:pPr>
            <w:r w:rsidRPr="00D03FB5">
              <w:rPr>
                <w:b/>
                <w:sz w:val="24"/>
                <w:szCs w:val="24"/>
              </w:rPr>
              <w:t>Favors</w:t>
            </w:r>
          </w:p>
          <w:p w:rsidR="00DF459B" w:rsidRPr="00D03FB5" w:rsidRDefault="00DF459B" w:rsidP="001031EB">
            <w:pPr>
              <w:spacing w:line="240" w:lineRule="auto"/>
              <w:ind w:firstLine="0"/>
              <w:jc w:val="center"/>
              <w:rPr>
                <w:b/>
                <w:sz w:val="24"/>
                <w:szCs w:val="24"/>
              </w:rPr>
            </w:pPr>
            <w:r w:rsidRPr="00D03FB5">
              <w:rPr>
                <w:b/>
                <w:sz w:val="24"/>
                <w:szCs w:val="24"/>
              </w:rPr>
              <w:t>Whom?</w:t>
            </w:r>
          </w:p>
        </w:tc>
        <w:tc>
          <w:tcPr>
            <w:tcW w:w="519" w:type="pct"/>
            <w:tcBorders>
              <w:top w:val="single" w:sz="4" w:space="0" w:color="auto"/>
              <w:left w:val="single" w:sz="4" w:space="0" w:color="auto"/>
              <w:bottom w:val="single" w:sz="4" w:space="0" w:color="auto"/>
              <w:right w:val="single" w:sz="4" w:space="0" w:color="auto"/>
            </w:tcBorders>
            <w:vAlign w:val="center"/>
          </w:tcPr>
          <w:p w:rsidR="00DF459B" w:rsidRPr="00D03FB5" w:rsidRDefault="00DF459B" w:rsidP="001031EB">
            <w:pPr>
              <w:spacing w:line="240" w:lineRule="auto"/>
              <w:ind w:firstLine="0"/>
              <w:jc w:val="center"/>
              <w:rPr>
                <w:b/>
                <w:sz w:val="24"/>
                <w:szCs w:val="24"/>
              </w:rPr>
            </w:pPr>
            <w:r w:rsidRPr="00D03FB5">
              <w:rPr>
                <w:b/>
                <w:sz w:val="24"/>
                <w:szCs w:val="24"/>
              </w:rPr>
              <w:t>z-</w:t>
            </w:r>
          </w:p>
          <w:p w:rsidR="00DF459B" w:rsidRPr="00D03FB5" w:rsidRDefault="00DF459B" w:rsidP="001031EB">
            <w:pPr>
              <w:spacing w:line="240" w:lineRule="auto"/>
              <w:ind w:firstLine="0"/>
              <w:jc w:val="center"/>
              <w:rPr>
                <w:b/>
                <w:sz w:val="24"/>
                <w:szCs w:val="24"/>
              </w:rPr>
            </w:pPr>
            <w:r w:rsidRPr="00D03FB5">
              <w:rPr>
                <w:b/>
                <w:sz w:val="24"/>
                <w:szCs w:val="24"/>
              </w:rPr>
              <w:t>Score</w:t>
            </w:r>
          </w:p>
        </w:tc>
        <w:tc>
          <w:tcPr>
            <w:tcW w:w="474" w:type="pct"/>
            <w:tcBorders>
              <w:top w:val="single" w:sz="4" w:space="0" w:color="auto"/>
              <w:left w:val="single" w:sz="4" w:space="0" w:color="auto"/>
              <w:bottom w:val="single" w:sz="4" w:space="0" w:color="auto"/>
              <w:right w:val="single" w:sz="4" w:space="0" w:color="auto"/>
            </w:tcBorders>
            <w:vAlign w:val="center"/>
          </w:tcPr>
          <w:p w:rsidR="00DF459B" w:rsidRPr="00D03FB5" w:rsidRDefault="00DF459B" w:rsidP="001031EB">
            <w:pPr>
              <w:spacing w:line="240" w:lineRule="auto"/>
              <w:ind w:firstLine="0"/>
              <w:jc w:val="center"/>
              <w:rPr>
                <w:b/>
                <w:sz w:val="24"/>
                <w:szCs w:val="24"/>
              </w:rPr>
            </w:pPr>
            <w:r w:rsidRPr="00D03FB5">
              <w:rPr>
                <w:b/>
                <w:sz w:val="24"/>
                <w:szCs w:val="24"/>
              </w:rPr>
              <w:t>p</w:t>
            </w:r>
          </w:p>
          <w:p w:rsidR="00DF459B" w:rsidRPr="00D03FB5" w:rsidRDefault="00DF459B" w:rsidP="001031EB">
            <w:pPr>
              <w:spacing w:line="240" w:lineRule="auto"/>
              <w:ind w:firstLine="0"/>
              <w:jc w:val="center"/>
              <w:rPr>
                <w:b/>
                <w:sz w:val="24"/>
                <w:szCs w:val="24"/>
              </w:rPr>
            </w:pPr>
            <w:r w:rsidRPr="00D03FB5">
              <w:rPr>
                <w:b/>
                <w:sz w:val="24"/>
                <w:szCs w:val="24"/>
              </w:rPr>
              <w:t>Value</w:t>
            </w:r>
          </w:p>
        </w:tc>
      </w:tr>
      <w:tr w:rsidR="00DF459B" w:rsidRPr="00D03FB5" w:rsidTr="001031EB">
        <w:trPr>
          <w:trHeight w:val="270"/>
          <w:jc w:val="center"/>
        </w:trPr>
        <w:tc>
          <w:tcPr>
            <w:tcW w:w="595" w:type="pct"/>
            <w:vAlign w:val="center"/>
          </w:tcPr>
          <w:p w:rsidR="00DF459B" w:rsidRPr="00D03FB5" w:rsidRDefault="00DF459B" w:rsidP="001031EB">
            <w:pPr>
              <w:spacing w:line="240" w:lineRule="auto"/>
              <w:ind w:firstLine="0"/>
              <w:rPr>
                <w:sz w:val="24"/>
                <w:szCs w:val="24"/>
              </w:rPr>
            </w:pPr>
            <w:r w:rsidRPr="00D03FB5">
              <w:rPr>
                <w:sz w:val="24"/>
                <w:szCs w:val="24"/>
              </w:rPr>
              <w:t>Northeast</w:t>
            </w:r>
          </w:p>
        </w:tc>
        <w:tc>
          <w:tcPr>
            <w:tcW w:w="690" w:type="pct"/>
            <w:vAlign w:val="center"/>
          </w:tcPr>
          <w:p w:rsidR="00DF459B" w:rsidRPr="00D03FB5" w:rsidRDefault="00DF459B" w:rsidP="001031EB">
            <w:pPr>
              <w:tabs>
                <w:tab w:val="left" w:pos="1330"/>
              </w:tabs>
              <w:spacing w:line="240" w:lineRule="auto"/>
              <w:ind w:firstLine="0"/>
              <w:jc w:val="center"/>
              <w:rPr>
                <w:sz w:val="24"/>
                <w:szCs w:val="24"/>
              </w:rPr>
            </w:pPr>
            <w:r w:rsidRPr="00D03FB5">
              <w:rPr>
                <w:sz w:val="24"/>
                <w:szCs w:val="24"/>
              </w:rPr>
              <w:t>19,988</w:t>
            </w:r>
          </w:p>
        </w:tc>
        <w:tc>
          <w:tcPr>
            <w:tcW w:w="691" w:type="pct"/>
            <w:vAlign w:val="center"/>
          </w:tcPr>
          <w:p w:rsidR="00DF459B" w:rsidRPr="00D03FB5" w:rsidRDefault="00DF459B" w:rsidP="001031EB">
            <w:pPr>
              <w:spacing w:line="240" w:lineRule="auto"/>
              <w:ind w:firstLine="0"/>
              <w:jc w:val="center"/>
              <w:rPr>
                <w:sz w:val="24"/>
                <w:szCs w:val="24"/>
              </w:rPr>
            </w:pPr>
            <w:r w:rsidRPr="00D03FB5">
              <w:rPr>
                <w:sz w:val="24"/>
                <w:szCs w:val="24"/>
              </w:rPr>
              <w:t>9.702</w:t>
            </w:r>
          </w:p>
        </w:tc>
        <w:tc>
          <w:tcPr>
            <w:tcW w:w="691" w:type="pct"/>
            <w:vAlign w:val="center"/>
          </w:tcPr>
          <w:p w:rsidR="00DF459B" w:rsidRPr="00D03FB5" w:rsidRDefault="00DF459B" w:rsidP="001031EB">
            <w:pPr>
              <w:spacing w:line="240" w:lineRule="auto"/>
              <w:ind w:firstLine="0"/>
              <w:jc w:val="center"/>
              <w:rPr>
                <w:sz w:val="24"/>
                <w:szCs w:val="24"/>
              </w:rPr>
            </w:pPr>
            <w:r w:rsidRPr="00D03FB5">
              <w:rPr>
                <w:sz w:val="24"/>
                <w:szCs w:val="24"/>
              </w:rPr>
              <w:t>8.678</w:t>
            </w:r>
          </w:p>
        </w:tc>
        <w:tc>
          <w:tcPr>
            <w:tcW w:w="691" w:type="pct"/>
            <w:vAlign w:val="center"/>
          </w:tcPr>
          <w:p w:rsidR="00DF459B" w:rsidRPr="00D03FB5" w:rsidRDefault="00DF459B" w:rsidP="001031EB">
            <w:pPr>
              <w:spacing w:line="240" w:lineRule="auto"/>
              <w:ind w:hanging="10"/>
              <w:jc w:val="center"/>
              <w:rPr>
                <w:sz w:val="24"/>
                <w:szCs w:val="24"/>
              </w:rPr>
            </w:pPr>
            <w:r w:rsidRPr="00D03FB5">
              <w:rPr>
                <w:sz w:val="24"/>
                <w:szCs w:val="24"/>
              </w:rPr>
              <w:t>16,838</w:t>
            </w:r>
          </w:p>
        </w:tc>
        <w:tc>
          <w:tcPr>
            <w:tcW w:w="648" w:type="pct"/>
            <w:vAlign w:val="center"/>
          </w:tcPr>
          <w:p w:rsidR="00DF459B" w:rsidRPr="00D03FB5" w:rsidRDefault="00DF459B" w:rsidP="001031EB">
            <w:pPr>
              <w:spacing w:line="240" w:lineRule="auto"/>
              <w:ind w:firstLine="0"/>
              <w:jc w:val="center"/>
              <w:rPr>
                <w:sz w:val="24"/>
                <w:szCs w:val="24"/>
              </w:rPr>
            </w:pPr>
            <w:r w:rsidRPr="00D03FB5">
              <w:rPr>
                <w:sz w:val="24"/>
                <w:szCs w:val="24"/>
              </w:rPr>
              <w:t>MALES</w:t>
            </w:r>
          </w:p>
        </w:tc>
        <w:tc>
          <w:tcPr>
            <w:tcW w:w="519" w:type="pct"/>
            <w:vAlign w:val="center"/>
          </w:tcPr>
          <w:p w:rsidR="00DF459B" w:rsidRPr="00D03FB5" w:rsidRDefault="00DF459B" w:rsidP="001031EB">
            <w:pPr>
              <w:spacing w:line="240" w:lineRule="auto"/>
              <w:ind w:firstLine="0"/>
              <w:jc w:val="center"/>
              <w:rPr>
                <w:sz w:val="24"/>
                <w:szCs w:val="24"/>
              </w:rPr>
            </w:pPr>
            <w:r w:rsidRPr="00D03FB5">
              <w:rPr>
                <w:sz w:val="24"/>
                <w:szCs w:val="24"/>
              </w:rPr>
              <w:t>11.22</w:t>
            </w:r>
          </w:p>
        </w:tc>
        <w:tc>
          <w:tcPr>
            <w:tcW w:w="474" w:type="pct"/>
            <w:vAlign w:val="center"/>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trHeight w:val="254"/>
          <w:jc w:val="center"/>
        </w:trPr>
        <w:tc>
          <w:tcPr>
            <w:tcW w:w="595" w:type="pct"/>
            <w:vAlign w:val="center"/>
          </w:tcPr>
          <w:p w:rsidR="00DF459B" w:rsidRPr="00D03FB5" w:rsidRDefault="00DF459B" w:rsidP="001031EB">
            <w:pPr>
              <w:spacing w:line="240" w:lineRule="auto"/>
              <w:ind w:firstLine="0"/>
              <w:rPr>
                <w:sz w:val="24"/>
                <w:szCs w:val="24"/>
              </w:rPr>
            </w:pPr>
            <w:r w:rsidRPr="00D03FB5">
              <w:rPr>
                <w:sz w:val="24"/>
                <w:szCs w:val="24"/>
              </w:rPr>
              <w:t>Midwest</w:t>
            </w:r>
          </w:p>
        </w:tc>
        <w:tc>
          <w:tcPr>
            <w:tcW w:w="690" w:type="pct"/>
            <w:vAlign w:val="center"/>
          </w:tcPr>
          <w:p w:rsidR="00DF459B" w:rsidRPr="00D03FB5" w:rsidRDefault="00DF459B" w:rsidP="001031EB">
            <w:pPr>
              <w:tabs>
                <w:tab w:val="left" w:pos="1330"/>
              </w:tabs>
              <w:spacing w:line="240" w:lineRule="auto"/>
              <w:ind w:firstLine="0"/>
              <w:jc w:val="center"/>
              <w:rPr>
                <w:sz w:val="24"/>
                <w:szCs w:val="24"/>
              </w:rPr>
            </w:pPr>
            <w:r w:rsidRPr="00D03FB5">
              <w:rPr>
                <w:sz w:val="24"/>
                <w:szCs w:val="24"/>
              </w:rPr>
              <w:t>50,080</w:t>
            </w:r>
          </w:p>
        </w:tc>
        <w:tc>
          <w:tcPr>
            <w:tcW w:w="691" w:type="pct"/>
            <w:vAlign w:val="center"/>
          </w:tcPr>
          <w:p w:rsidR="00DF459B" w:rsidRPr="00D03FB5" w:rsidRDefault="00DF459B" w:rsidP="001031EB">
            <w:pPr>
              <w:spacing w:line="240" w:lineRule="auto"/>
              <w:ind w:firstLine="0"/>
              <w:jc w:val="center"/>
              <w:rPr>
                <w:sz w:val="24"/>
                <w:szCs w:val="24"/>
              </w:rPr>
            </w:pPr>
            <w:r w:rsidRPr="00D03FB5">
              <w:rPr>
                <w:sz w:val="24"/>
                <w:szCs w:val="24"/>
              </w:rPr>
              <w:t>24.309</w:t>
            </w:r>
          </w:p>
        </w:tc>
        <w:tc>
          <w:tcPr>
            <w:tcW w:w="691" w:type="pct"/>
            <w:vAlign w:val="center"/>
          </w:tcPr>
          <w:p w:rsidR="00DF459B" w:rsidRPr="00D03FB5" w:rsidRDefault="00DF459B" w:rsidP="001031EB">
            <w:pPr>
              <w:spacing w:line="240" w:lineRule="auto"/>
              <w:ind w:firstLine="0"/>
              <w:jc w:val="center"/>
              <w:rPr>
                <w:sz w:val="24"/>
                <w:szCs w:val="24"/>
              </w:rPr>
            </w:pPr>
            <w:r w:rsidRPr="00D03FB5">
              <w:rPr>
                <w:sz w:val="24"/>
                <w:szCs w:val="24"/>
              </w:rPr>
              <w:t>23.548</w:t>
            </w:r>
          </w:p>
        </w:tc>
        <w:tc>
          <w:tcPr>
            <w:tcW w:w="691" w:type="pct"/>
            <w:vAlign w:val="center"/>
          </w:tcPr>
          <w:p w:rsidR="00DF459B" w:rsidRPr="00D03FB5" w:rsidRDefault="00DF459B" w:rsidP="001031EB">
            <w:pPr>
              <w:spacing w:line="240" w:lineRule="auto"/>
              <w:ind w:hanging="10"/>
              <w:jc w:val="center"/>
              <w:rPr>
                <w:sz w:val="24"/>
                <w:szCs w:val="24"/>
              </w:rPr>
            </w:pPr>
            <w:r w:rsidRPr="00D03FB5">
              <w:rPr>
                <w:sz w:val="24"/>
                <w:szCs w:val="24"/>
              </w:rPr>
              <w:t>45,691</w:t>
            </w:r>
          </w:p>
        </w:tc>
        <w:tc>
          <w:tcPr>
            <w:tcW w:w="648" w:type="pct"/>
            <w:vAlign w:val="center"/>
          </w:tcPr>
          <w:p w:rsidR="00DF459B" w:rsidRPr="00D03FB5" w:rsidRDefault="00DF459B" w:rsidP="001031EB">
            <w:pPr>
              <w:spacing w:line="240" w:lineRule="auto"/>
              <w:ind w:firstLine="0"/>
              <w:jc w:val="center"/>
              <w:rPr>
                <w:sz w:val="24"/>
                <w:szCs w:val="24"/>
              </w:rPr>
            </w:pPr>
            <w:r w:rsidRPr="00D03FB5">
              <w:rPr>
                <w:sz w:val="24"/>
                <w:szCs w:val="24"/>
              </w:rPr>
              <w:t>MALES</w:t>
            </w:r>
          </w:p>
        </w:tc>
        <w:tc>
          <w:tcPr>
            <w:tcW w:w="519" w:type="pct"/>
            <w:vAlign w:val="center"/>
          </w:tcPr>
          <w:p w:rsidR="00DF459B" w:rsidRPr="00D03FB5" w:rsidRDefault="00DF459B" w:rsidP="001031EB">
            <w:pPr>
              <w:spacing w:line="240" w:lineRule="auto"/>
              <w:ind w:firstLine="0"/>
              <w:jc w:val="center"/>
              <w:rPr>
                <w:sz w:val="24"/>
                <w:szCs w:val="24"/>
              </w:rPr>
            </w:pPr>
            <w:r w:rsidRPr="00D03FB5">
              <w:rPr>
                <w:sz w:val="24"/>
                <w:szCs w:val="24"/>
              </w:rPr>
              <w:t>5.64</w:t>
            </w:r>
          </w:p>
        </w:tc>
        <w:tc>
          <w:tcPr>
            <w:tcW w:w="474" w:type="pct"/>
            <w:vAlign w:val="center"/>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trHeight w:val="540"/>
          <w:jc w:val="center"/>
        </w:trPr>
        <w:tc>
          <w:tcPr>
            <w:tcW w:w="595" w:type="pct"/>
            <w:vAlign w:val="center"/>
          </w:tcPr>
          <w:p w:rsidR="00DF459B" w:rsidRPr="00D03FB5" w:rsidRDefault="00DF459B" w:rsidP="001031EB">
            <w:pPr>
              <w:spacing w:line="240" w:lineRule="auto"/>
              <w:ind w:firstLine="0"/>
              <w:rPr>
                <w:sz w:val="24"/>
                <w:szCs w:val="24"/>
              </w:rPr>
            </w:pPr>
            <w:r w:rsidRPr="00D03FB5">
              <w:rPr>
                <w:sz w:val="24"/>
                <w:szCs w:val="24"/>
              </w:rPr>
              <w:t>West</w:t>
            </w:r>
          </w:p>
        </w:tc>
        <w:tc>
          <w:tcPr>
            <w:tcW w:w="690" w:type="pct"/>
            <w:vAlign w:val="center"/>
          </w:tcPr>
          <w:p w:rsidR="00DF459B" w:rsidRPr="00D03FB5" w:rsidRDefault="00DF459B" w:rsidP="001031EB">
            <w:pPr>
              <w:tabs>
                <w:tab w:val="left" w:pos="1330"/>
              </w:tabs>
              <w:spacing w:line="240" w:lineRule="auto"/>
              <w:ind w:firstLine="0"/>
              <w:jc w:val="center"/>
              <w:rPr>
                <w:sz w:val="24"/>
                <w:szCs w:val="24"/>
              </w:rPr>
            </w:pPr>
            <w:r w:rsidRPr="00D03FB5">
              <w:rPr>
                <w:sz w:val="24"/>
                <w:szCs w:val="24"/>
              </w:rPr>
              <w:t>30,589</w:t>
            </w:r>
          </w:p>
        </w:tc>
        <w:tc>
          <w:tcPr>
            <w:tcW w:w="691" w:type="pct"/>
            <w:vAlign w:val="center"/>
          </w:tcPr>
          <w:p w:rsidR="00DF459B" w:rsidRPr="00D03FB5" w:rsidRDefault="00DF459B" w:rsidP="001031EB">
            <w:pPr>
              <w:spacing w:line="240" w:lineRule="auto"/>
              <w:ind w:firstLine="0"/>
              <w:jc w:val="center"/>
              <w:rPr>
                <w:sz w:val="24"/>
                <w:szCs w:val="24"/>
              </w:rPr>
            </w:pPr>
            <w:r w:rsidRPr="00D03FB5">
              <w:rPr>
                <w:sz w:val="24"/>
                <w:szCs w:val="24"/>
              </w:rPr>
              <w:t>14.848</w:t>
            </w:r>
          </w:p>
        </w:tc>
        <w:tc>
          <w:tcPr>
            <w:tcW w:w="691" w:type="pct"/>
            <w:vAlign w:val="center"/>
          </w:tcPr>
          <w:p w:rsidR="00DF459B" w:rsidRPr="00D03FB5" w:rsidRDefault="00DF459B" w:rsidP="001031EB">
            <w:pPr>
              <w:spacing w:line="240" w:lineRule="auto"/>
              <w:ind w:firstLine="0"/>
              <w:jc w:val="center"/>
              <w:rPr>
                <w:sz w:val="24"/>
                <w:szCs w:val="24"/>
              </w:rPr>
            </w:pPr>
            <w:r w:rsidRPr="00D03FB5">
              <w:rPr>
                <w:sz w:val="24"/>
                <w:szCs w:val="24"/>
              </w:rPr>
              <w:t>14.616</w:t>
            </w:r>
          </w:p>
        </w:tc>
        <w:tc>
          <w:tcPr>
            <w:tcW w:w="691" w:type="pct"/>
            <w:vAlign w:val="center"/>
          </w:tcPr>
          <w:p w:rsidR="00DF459B" w:rsidRPr="00D03FB5" w:rsidRDefault="00DF459B" w:rsidP="001031EB">
            <w:pPr>
              <w:spacing w:line="240" w:lineRule="auto"/>
              <w:ind w:hanging="10"/>
              <w:jc w:val="center"/>
              <w:rPr>
                <w:sz w:val="24"/>
                <w:szCs w:val="24"/>
              </w:rPr>
            </w:pPr>
            <w:r w:rsidRPr="00D03FB5">
              <w:rPr>
                <w:sz w:val="24"/>
                <w:szCs w:val="24"/>
              </w:rPr>
              <w:t>28,360</w:t>
            </w:r>
          </w:p>
        </w:tc>
        <w:tc>
          <w:tcPr>
            <w:tcW w:w="648" w:type="pct"/>
            <w:vAlign w:val="center"/>
          </w:tcPr>
          <w:p w:rsidR="00DF459B" w:rsidRPr="00D03FB5" w:rsidRDefault="00DF459B" w:rsidP="001031EB">
            <w:pPr>
              <w:spacing w:line="240" w:lineRule="auto"/>
              <w:ind w:firstLine="0"/>
              <w:jc w:val="center"/>
              <w:rPr>
                <w:sz w:val="24"/>
                <w:szCs w:val="24"/>
              </w:rPr>
            </w:pPr>
            <w:r w:rsidRPr="00D03FB5">
              <w:rPr>
                <w:sz w:val="24"/>
                <w:szCs w:val="24"/>
              </w:rPr>
              <w:t>NO SIG</w:t>
            </w:r>
          </w:p>
          <w:p w:rsidR="00DF459B" w:rsidRPr="00D03FB5" w:rsidRDefault="00DF459B" w:rsidP="001031EB">
            <w:pPr>
              <w:spacing w:line="240" w:lineRule="auto"/>
              <w:ind w:firstLine="0"/>
              <w:jc w:val="center"/>
              <w:rPr>
                <w:sz w:val="24"/>
                <w:szCs w:val="24"/>
              </w:rPr>
            </w:pPr>
            <w:r w:rsidRPr="00D03FB5">
              <w:rPr>
                <w:sz w:val="24"/>
                <w:szCs w:val="24"/>
              </w:rPr>
              <w:t>DIFF</w:t>
            </w:r>
          </w:p>
        </w:tc>
        <w:tc>
          <w:tcPr>
            <w:tcW w:w="519" w:type="pct"/>
            <w:vAlign w:val="center"/>
          </w:tcPr>
          <w:p w:rsidR="00DF459B" w:rsidRPr="00D03FB5" w:rsidRDefault="00DF459B" w:rsidP="001031EB">
            <w:pPr>
              <w:spacing w:line="240" w:lineRule="auto"/>
              <w:ind w:firstLine="0"/>
              <w:jc w:val="center"/>
              <w:rPr>
                <w:sz w:val="24"/>
                <w:szCs w:val="24"/>
              </w:rPr>
            </w:pPr>
            <w:r w:rsidRPr="00D03FB5">
              <w:rPr>
                <w:sz w:val="24"/>
                <w:szCs w:val="24"/>
              </w:rPr>
              <w:t>2.07</w:t>
            </w:r>
          </w:p>
        </w:tc>
        <w:tc>
          <w:tcPr>
            <w:tcW w:w="474" w:type="pct"/>
            <w:vAlign w:val="center"/>
          </w:tcPr>
          <w:p w:rsidR="00DF459B" w:rsidRPr="00D03FB5" w:rsidRDefault="00DF459B" w:rsidP="001031EB">
            <w:pPr>
              <w:spacing w:line="240" w:lineRule="auto"/>
              <w:ind w:firstLine="0"/>
              <w:jc w:val="center"/>
              <w:rPr>
                <w:sz w:val="24"/>
                <w:szCs w:val="24"/>
              </w:rPr>
            </w:pPr>
            <w:r w:rsidRPr="00D03FB5">
              <w:rPr>
                <w:sz w:val="24"/>
                <w:szCs w:val="24"/>
              </w:rPr>
              <w:t>0.038</w:t>
            </w:r>
          </w:p>
        </w:tc>
      </w:tr>
      <w:tr w:rsidR="00DF459B" w:rsidRPr="00D03FB5" w:rsidTr="001031EB">
        <w:trPr>
          <w:trHeight w:val="809"/>
          <w:jc w:val="center"/>
        </w:trPr>
        <w:tc>
          <w:tcPr>
            <w:tcW w:w="595" w:type="pct"/>
            <w:vAlign w:val="center"/>
          </w:tcPr>
          <w:p w:rsidR="00DF459B" w:rsidRPr="00D03FB5" w:rsidRDefault="00DF459B" w:rsidP="001031EB">
            <w:pPr>
              <w:spacing w:line="240" w:lineRule="auto"/>
              <w:ind w:firstLine="0"/>
              <w:rPr>
                <w:sz w:val="24"/>
                <w:szCs w:val="24"/>
              </w:rPr>
            </w:pPr>
            <w:r w:rsidRPr="00D03FB5">
              <w:rPr>
                <w:sz w:val="24"/>
                <w:szCs w:val="24"/>
              </w:rPr>
              <w:t>Foreign and Territories</w:t>
            </w:r>
          </w:p>
        </w:tc>
        <w:tc>
          <w:tcPr>
            <w:tcW w:w="690" w:type="pct"/>
            <w:vAlign w:val="center"/>
          </w:tcPr>
          <w:p w:rsidR="00DF459B" w:rsidRPr="00D03FB5" w:rsidRDefault="00DF459B" w:rsidP="001031EB">
            <w:pPr>
              <w:tabs>
                <w:tab w:val="left" w:pos="1330"/>
              </w:tabs>
              <w:spacing w:line="240" w:lineRule="auto"/>
              <w:ind w:firstLine="0"/>
              <w:jc w:val="center"/>
              <w:rPr>
                <w:sz w:val="24"/>
                <w:szCs w:val="24"/>
              </w:rPr>
            </w:pPr>
            <w:r w:rsidRPr="00D03FB5">
              <w:rPr>
                <w:sz w:val="24"/>
                <w:szCs w:val="24"/>
              </w:rPr>
              <w:t>641</w:t>
            </w:r>
          </w:p>
        </w:tc>
        <w:tc>
          <w:tcPr>
            <w:tcW w:w="691" w:type="pct"/>
            <w:vAlign w:val="center"/>
          </w:tcPr>
          <w:p w:rsidR="00DF459B" w:rsidRPr="00D03FB5" w:rsidRDefault="00DF459B" w:rsidP="001031EB">
            <w:pPr>
              <w:spacing w:line="240" w:lineRule="auto"/>
              <w:ind w:firstLine="0"/>
              <w:jc w:val="center"/>
              <w:rPr>
                <w:sz w:val="24"/>
                <w:szCs w:val="24"/>
              </w:rPr>
            </w:pPr>
            <w:r w:rsidRPr="00D03FB5">
              <w:rPr>
                <w:sz w:val="24"/>
                <w:szCs w:val="24"/>
              </w:rPr>
              <w:t>0.311</w:t>
            </w:r>
          </w:p>
        </w:tc>
        <w:tc>
          <w:tcPr>
            <w:tcW w:w="691" w:type="pct"/>
            <w:vAlign w:val="center"/>
          </w:tcPr>
          <w:p w:rsidR="00DF459B" w:rsidRPr="00D03FB5" w:rsidRDefault="00DF459B" w:rsidP="001031EB">
            <w:pPr>
              <w:spacing w:line="240" w:lineRule="auto"/>
              <w:ind w:firstLine="0"/>
              <w:jc w:val="center"/>
              <w:rPr>
                <w:sz w:val="24"/>
                <w:szCs w:val="24"/>
              </w:rPr>
            </w:pPr>
            <w:r w:rsidRPr="00D03FB5">
              <w:rPr>
                <w:sz w:val="24"/>
                <w:szCs w:val="24"/>
              </w:rPr>
              <w:t>0.330</w:t>
            </w:r>
          </w:p>
        </w:tc>
        <w:tc>
          <w:tcPr>
            <w:tcW w:w="691" w:type="pct"/>
            <w:vAlign w:val="center"/>
          </w:tcPr>
          <w:p w:rsidR="00DF459B" w:rsidRPr="00D03FB5" w:rsidRDefault="00DF459B" w:rsidP="001031EB">
            <w:pPr>
              <w:spacing w:line="240" w:lineRule="auto"/>
              <w:ind w:hanging="10"/>
              <w:jc w:val="center"/>
              <w:rPr>
                <w:sz w:val="24"/>
                <w:szCs w:val="24"/>
              </w:rPr>
            </w:pPr>
            <w:r w:rsidRPr="00D03FB5">
              <w:rPr>
                <w:sz w:val="24"/>
                <w:szCs w:val="24"/>
              </w:rPr>
              <w:t>640</w:t>
            </w:r>
          </w:p>
        </w:tc>
        <w:tc>
          <w:tcPr>
            <w:tcW w:w="648" w:type="pct"/>
            <w:vAlign w:val="center"/>
          </w:tcPr>
          <w:p w:rsidR="00DF459B" w:rsidRPr="00D03FB5" w:rsidRDefault="00DF459B" w:rsidP="001031EB">
            <w:pPr>
              <w:spacing w:line="240" w:lineRule="auto"/>
              <w:ind w:firstLine="0"/>
              <w:jc w:val="center"/>
              <w:rPr>
                <w:sz w:val="24"/>
                <w:szCs w:val="24"/>
              </w:rPr>
            </w:pPr>
            <w:r w:rsidRPr="00D03FB5">
              <w:rPr>
                <w:sz w:val="24"/>
                <w:szCs w:val="24"/>
              </w:rPr>
              <w:t>NO SIG</w:t>
            </w:r>
          </w:p>
          <w:p w:rsidR="00DF459B" w:rsidRPr="00D03FB5" w:rsidRDefault="00DF459B" w:rsidP="001031EB">
            <w:pPr>
              <w:spacing w:line="240" w:lineRule="auto"/>
              <w:ind w:firstLine="0"/>
              <w:jc w:val="center"/>
              <w:rPr>
                <w:sz w:val="24"/>
                <w:szCs w:val="24"/>
              </w:rPr>
            </w:pPr>
            <w:r w:rsidRPr="00D03FB5">
              <w:rPr>
                <w:sz w:val="24"/>
                <w:szCs w:val="24"/>
              </w:rPr>
              <w:t>DIFF</w:t>
            </w:r>
          </w:p>
        </w:tc>
        <w:tc>
          <w:tcPr>
            <w:tcW w:w="519" w:type="pct"/>
            <w:vAlign w:val="center"/>
          </w:tcPr>
          <w:p w:rsidR="00DF459B" w:rsidRPr="00D03FB5" w:rsidRDefault="00DF459B" w:rsidP="001031EB">
            <w:pPr>
              <w:spacing w:line="240" w:lineRule="auto"/>
              <w:ind w:firstLine="0"/>
              <w:jc w:val="center"/>
              <w:rPr>
                <w:sz w:val="24"/>
                <w:szCs w:val="24"/>
              </w:rPr>
            </w:pPr>
            <w:r w:rsidRPr="00D03FB5">
              <w:rPr>
                <w:sz w:val="24"/>
                <w:szCs w:val="24"/>
              </w:rPr>
              <w:t>-1.05</w:t>
            </w:r>
          </w:p>
        </w:tc>
        <w:tc>
          <w:tcPr>
            <w:tcW w:w="474" w:type="pct"/>
            <w:vAlign w:val="center"/>
          </w:tcPr>
          <w:p w:rsidR="00DF459B" w:rsidRPr="00D03FB5" w:rsidRDefault="00DF459B" w:rsidP="001031EB">
            <w:pPr>
              <w:spacing w:line="240" w:lineRule="auto"/>
              <w:ind w:firstLine="0"/>
              <w:jc w:val="center"/>
              <w:rPr>
                <w:sz w:val="24"/>
                <w:szCs w:val="24"/>
              </w:rPr>
            </w:pPr>
            <w:r w:rsidRPr="00D03FB5">
              <w:rPr>
                <w:sz w:val="24"/>
                <w:szCs w:val="24"/>
              </w:rPr>
              <w:t>0.296</w:t>
            </w:r>
          </w:p>
        </w:tc>
      </w:tr>
      <w:tr w:rsidR="00DF459B" w:rsidRPr="00D03FB5" w:rsidTr="001031EB">
        <w:trPr>
          <w:trHeight w:val="540"/>
          <w:jc w:val="center"/>
        </w:trPr>
        <w:tc>
          <w:tcPr>
            <w:tcW w:w="595" w:type="pct"/>
            <w:vAlign w:val="center"/>
          </w:tcPr>
          <w:p w:rsidR="00DF459B" w:rsidRPr="00D03FB5" w:rsidRDefault="00DF459B" w:rsidP="001031EB">
            <w:pPr>
              <w:spacing w:line="240" w:lineRule="auto"/>
              <w:ind w:firstLine="0"/>
              <w:rPr>
                <w:sz w:val="24"/>
                <w:szCs w:val="24"/>
              </w:rPr>
            </w:pPr>
            <w:r w:rsidRPr="00D03FB5">
              <w:rPr>
                <w:sz w:val="24"/>
                <w:szCs w:val="24"/>
              </w:rPr>
              <w:t>South</w:t>
            </w:r>
          </w:p>
        </w:tc>
        <w:tc>
          <w:tcPr>
            <w:tcW w:w="690" w:type="pct"/>
            <w:vAlign w:val="center"/>
          </w:tcPr>
          <w:p w:rsidR="00DF459B" w:rsidRPr="00D03FB5" w:rsidRDefault="00DF459B" w:rsidP="001031EB">
            <w:pPr>
              <w:tabs>
                <w:tab w:val="left" w:pos="1065"/>
                <w:tab w:val="left" w:pos="1330"/>
              </w:tabs>
              <w:spacing w:line="240" w:lineRule="auto"/>
              <w:ind w:firstLine="0"/>
              <w:jc w:val="center"/>
              <w:rPr>
                <w:sz w:val="24"/>
                <w:szCs w:val="24"/>
              </w:rPr>
            </w:pPr>
            <w:r w:rsidRPr="00D03FB5">
              <w:rPr>
                <w:sz w:val="24"/>
                <w:szCs w:val="24"/>
              </w:rPr>
              <w:t>69,509</w:t>
            </w:r>
          </w:p>
        </w:tc>
        <w:tc>
          <w:tcPr>
            <w:tcW w:w="691" w:type="pct"/>
            <w:vAlign w:val="center"/>
          </w:tcPr>
          <w:p w:rsidR="00DF459B" w:rsidRPr="00D03FB5" w:rsidRDefault="00DF459B" w:rsidP="001031EB">
            <w:pPr>
              <w:spacing w:line="240" w:lineRule="auto"/>
              <w:ind w:firstLine="0"/>
              <w:jc w:val="center"/>
              <w:rPr>
                <w:sz w:val="24"/>
                <w:szCs w:val="24"/>
              </w:rPr>
            </w:pPr>
            <w:r w:rsidRPr="00D03FB5">
              <w:rPr>
                <w:sz w:val="24"/>
                <w:szCs w:val="24"/>
              </w:rPr>
              <w:t>33.740</w:t>
            </w:r>
          </w:p>
        </w:tc>
        <w:tc>
          <w:tcPr>
            <w:tcW w:w="691" w:type="pct"/>
            <w:vAlign w:val="center"/>
          </w:tcPr>
          <w:p w:rsidR="00DF459B" w:rsidRPr="00D03FB5" w:rsidRDefault="00DF459B" w:rsidP="001031EB">
            <w:pPr>
              <w:spacing w:line="240" w:lineRule="auto"/>
              <w:ind w:firstLine="0"/>
              <w:jc w:val="center"/>
              <w:rPr>
                <w:sz w:val="24"/>
                <w:szCs w:val="24"/>
              </w:rPr>
            </w:pPr>
            <w:r w:rsidRPr="00D03FB5">
              <w:rPr>
                <w:sz w:val="24"/>
                <w:szCs w:val="24"/>
              </w:rPr>
              <w:t>34.000</w:t>
            </w:r>
          </w:p>
        </w:tc>
        <w:tc>
          <w:tcPr>
            <w:tcW w:w="691" w:type="pct"/>
            <w:vAlign w:val="center"/>
          </w:tcPr>
          <w:p w:rsidR="00DF459B" w:rsidRPr="00D03FB5" w:rsidRDefault="00DF459B" w:rsidP="001031EB">
            <w:pPr>
              <w:spacing w:line="240" w:lineRule="auto"/>
              <w:ind w:hanging="10"/>
              <w:jc w:val="center"/>
              <w:rPr>
                <w:sz w:val="24"/>
                <w:szCs w:val="24"/>
              </w:rPr>
            </w:pPr>
            <w:r w:rsidRPr="00D03FB5">
              <w:rPr>
                <w:sz w:val="24"/>
                <w:szCs w:val="24"/>
              </w:rPr>
              <w:t>65,972</w:t>
            </w:r>
          </w:p>
        </w:tc>
        <w:tc>
          <w:tcPr>
            <w:tcW w:w="648" w:type="pct"/>
            <w:vAlign w:val="center"/>
          </w:tcPr>
          <w:p w:rsidR="00DF459B" w:rsidRPr="00D03FB5" w:rsidRDefault="00DF459B" w:rsidP="001031EB">
            <w:pPr>
              <w:spacing w:line="240" w:lineRule="auto"/>
              <w:ind w:firstLine="0"/>
              <w:jc w:val="center"/>
              <w:rPr>
                <w:sz w:val="24"/>
                <w:szCs w:val="24"/>
              </w:rPr>
            </w:pPr>
            <w:r w:rsidRPr="00D03FB5">
              <w:rPr>
                <w:sz w:val="24"/>
                <w:szCs w:val="24"/>
              </w:rPr>
              <w:t>NO SIG</w:t>
            </w:r>
          </w:p>
          <w:p w:rsidR="00DF459B" w:rsidRPr="00D03FB5" w:rsidRDefault="00DF459B" w:rsidP="001031EB">
            <w:pPr>
              <w:spacing w:line="240" w:lineRule="auto"/>
              <w:ind w:firstLine="0"/>
              <w:jc w:val="center"/>
              <w:rPr>
                <w:sz w:val="24"/>
                <w:szCs w:val="24"/>
              </w:rPr>
            </w:pPr>
            <w:r w:rsidRPr="00D03FB5">
              <w:rPr>
                <w:sz w:val="24"/>
                <w:szCs w:val="24"/>
              </w:rPr>
              <w:t>DIFF</w:t>
            </w:r>
          </w:p>
        </w:tc>
        <w:tc>
          <w:tcPr>
            <w:tcW w:w="519" w:type="pct"/>
            <w:vAlign w:val="center"/>
          </w:tcPr>
          <w:p w:rsidR="00DF459B" w:rsidRPr="00D03FB5" w:rsidRDefault="00DF459B" w:rsidP="001031EB">
            <w:pPr>
              <w:spacing w:line="240" w:lineRule="auto"/>
              <w:ind w:firstLine="0"/>
              <w:jc w:val="center"/>
              <w:rPr>
                <w:sz w:val="24"/>
                <w:szCs w:val="24"/>
              </w:rPr>
            </w:pPr>
            <w:r w:rsidRPr="00D03FB5">
              <w:rPr>
                <w:sz w:val="24"/>
                <w:szCs w:val="24"/>
              </w:rPr>
              <w:t>-1.74</w:t>
            </w:r>
          </w:p>
        </w:tc>
        <w:tc>
          <w:tcPr>
            <w:tcW w:w="474" w:type="pct"/>
            <w:vAlign w:val="center"/>
          </w:tcPr>
          <w:p w:rsidR="00DF459B" w:rsidRPr="00D03FB5" w:rsidRDefault="00DF459B" w:rsidP="001031EB">
            <w:pPr>
              <w:spacing w:line="240" w:lineRule="auto"/>
              <w:ind w:firstLine="0"/>
              <w:jc w:val="center"/>
              <w:rPr>
                <w:sz w:val="24"/>
                <w:szCs w:val="24"/>
              </w:rPr>
            </w:pPr>
            <w:r w:rsidRPr="00D03FB5">
              <w:rPr>
                <w:sz w:val="24"/>
                <w:szCs w:val="24"/>
              </w:rPr>
              <w:t>0.082</w:t>
            </w:r>
          </w:p>
        </w:tc>
      </w:tr>
      <w:tr w:rsidR="00DF459B" w:rsidRPr="00D03FB5" w:rsidTr="001031EB">
        <w:trPr>
          <w:trHeight w:val="254"/>
          <w:jc w:val="center"/>
        </w:trPr>
        <w:tc>
          <w:tcPr>
            <w:tcW w:w="595" w:type="pct"/>
            <w:vAlign w:val="center"/>
          </w:tcPr>
          <w:p w:rsidR="00DF459B" w:rsidRPr="00D03FB5" w:rsidRDefault="00DF459B" w:rsidP="001031EB">
            <w:pPr>
              <w:spacing w:line="240" w:lineRule="auto"/>
              <w:ind w:firstLine="0"/>
              <w:rPr>
                <w:sz w:val="24"/>
                <w:szCs w:val="24"/>
              </w:rPr>
            </w:pPr>
            <w:r w:rsidRPr="00D03FB5">
              <w:rPr>
                <w:sz w:val="24"/>
                <w:szCs w:val="24"/>
              </w:rPr>
              <w:t>Null</w:t>
            </w:r>
          </w:p>
        </w:tc>
        <w:tc>
          <w:tcPr>
            <w:tcW w:w="690" w:type="pct"/>
            <w:vAlign w:val="center"/>
          </w:tcPr>
          <w:p w:rsidR="00DF459B" w:rsidRPr="00D03FB5" w:rsidRDefault="00DF459B" w:rsidP="001031EB">
            <w:pPr>
              <w:tabs>
                <w:tab w:val="left" w:pos="1330"/>
              </w:tabs>
              <w:spacing w:line="240" w:lineRule="auto"/>
              <w:ind w:firstLine="0"/>
              <w:jc w:val="center"/>
              <w:rPr>
                <w:sz w:val="24"/>
                <w:szCs w:val="24"/>
              </w:rPr>
            </w:pPr>
            <w:r w:rsidRPr="00D03FB5">
              <w:rPr>
                <w:sz w:val="24"/>
                <w:szCs w:val="24"/>
              </w:rPr>
              <w:t>35,207</w:t>
            </w:r>
          </w:p>
        </w:tc>
        <w:tc>
          <w:tcPr>
            <w:tcW w:w="691" w:type="pct"/>
            <w:vAlign w:val="center"/>
          </w:tcPr>
          <w:p w:rsidR="00DF459B" w:rsidRPr="00D03FB5" w:rsidRDefault="00DF459B" w:rsidP="001031EB">
            <w:pPr>
              <w:spacing w:line="240" w:lineRule="auto"/>
              <w:ind w:firstLine="0"/>
              <w:jc w:val="center"/>
              <w:rPr>
                <w:sz w:val="24"/>
                <w:szCs w:val="24"/>
              </w:rPr>
            </w:pPr>
            <w:r w:rsidRPr="00D03FB5">
              <w:rPr>
                <w:sz w:val="24"/>
                <w:szCs w:val="24"/>
              </w:rPr>
              <w:t>17.090</w:t>
            </w:r>
          </w:p>
        </w:tc>
        <w:tc>
          <w:tcPr>
            <w:tcW w:w="691" w:type="pct"/>
            <w:vAlign w:val="center"/>
          </w:tcPr>
          <w:p w:rsidR="00DF459B" w:rsidRPr="00D03FB5" w:rsidRDefault="00DF459B" w:rsidP="001031EB">
            <w:pPr>
              <w:spacing w:line="240" w:lineRule="auto"/>
              <w:ind w:firstLine="0"/>
              <w:jc w:val="center"/>
              <w:rPr>
                <w:sz w:val="24"/>
                <w:szCs w:val="24"/>
              </w:rPr>
            </w:pPr>
            <w:r w:rsidRPr="00D03FB5">
              <w:rPr>
                <w:sz w:val="24"/>
                <w:szCs w:val="24"/>
              </w:rPr>
              <w:t>18.829</w:t>
            </w:r>
          </w:p>
        </w:tc>
        <w:tc>
          <w:tcPr>
            <w:tcW w:w="691" w:type="pct"/>
            <w:vAlign w:val="center"/>
          </w:tcPr>
          <w:p w:rsidR="00DF459B" w:rsidRPr="00D03FB5" w:rsidRDefault="00DF459B" w:rsidP="001031EB">
            <w:pPr>
              <w:spacing w:line="240" w:lineRule="auto"/>
              <w:ind w:hanging="10"/>
              <w:jc w:val="center"/>
              <w:rPr>
                <w:sz w:val="24"/>
                <w:szCs w:val="24"/>
              </w:rPr>
            </w:pPr>
            <w:r w:rsidRPr="00D03FB5">
              <w:rPr>
                <w:sz w:val="24"/>
                <w:szCs w:val="24"/>
              </w:rPr>
              <w:t>36,534</w:t>
            </w:r>
          </w:p>
        </w:tc>
        <w:tc>
          <w:tcPr>
            <w:tcW w:w="648" w:type="pct"/>
            <w:vAlign w:val="center"/>
          </w:tcPr>
          <w:p w:rsidR="00DF459B" w:rsidRPr="00D03FB5" w:rsidRDefault="00DF459B" w:rsidP="001031EB">
            <w:pPr>
              <w:spacing w:line="240" w:lineRule="auto"/>
              <w:ind w:firstLine="0"/>
              <w:jc w:val="center"/>
              <w:rPr>
                <w:sz w:val="24"/>
                <w:szCs w:val="24"/>
              </w:rPr>
            </w:pPr>
            <w:r w:rsidRPr="00D03FB5">
              <w:rPr>
                <w:sz w:val="24"/>
                <w:szCs w:val="24"/>
              </w:rPr>
              <w:t>FEMALES</w:t>
            </w:r>
          </w:p>
        </w:tc>
        <w:tc>
          <w:tcPr>
            <w:tcW w:w="519" w:type="pct"/>
            <w:vAlign w:val="center"/>
          </w:tcPr>
          <w:p w:rsidR="00DF459B" w:rsidRPr="00D03FB5" w:rsidRDefault="00DF459B" w:rsidP="001031EB">
            <w:pPr>
              <w:spacing w:line="240" w:lineRule="auto"/>
              <w:ind w:firstLine="0"/>
              <w:jc w:val="center"/>
              <w:rPr>
                <w:sz w:val="24"/>
                <w:szCs w:val="24"/>
              </w:rPr>
            </w:pPr>
            <w:r w:rsidRPr="00D03FB5">
              <w:rPr>
                <w:sz w:val="24"/>
                <w:szCs w:val="24"/>
              </w:rPr>
              <w:t>-14.32</w:t>
            </w:r>
          </w:p>
        </w:tc>
        <w:tc>
          <w:tcPr>
            <w:tcW w:w="474" w:type="pct"/>
            <w:vAlign w:val="center"/>
          </w:tcPr>
          <w:p w:rsidR="00DF459B" w:rsidRPr="00D03FB5" w:rsidRDefault="00DF459B" w:rsidP="001031EB">
            <w:pPr>
              <w:spacing w:line="240" w:lineRule="auto"/>
              <w:ind w:firstLine="0"/>
              <w:jc w:val="center"/>
              <w:rPr>
                <w:sz w:val="24"/>
                <w:szCs w:val="24"/>
              </w:rPr>
            </w:pPr>
            <w:r w:rsidRPr="00D03FB5">
              <w:rPr>
                <w:sz w:val="24"/>
                <w:szCs w:val="24"/>
              </w:rPr>
              <w:t>0.000</w:t>
            </w:r>
          </w:p>
        </w:tc>
      </w:tr>
      <w:tr w:rsidR="00DF459B" w:rsidRPr="00D03FB5" w:rsidTr="001031EB">
        <w:trPr>
          <w:trHeight w:val="540"/>
          <w:jc w:val="center"/>
        </w:trPr>
        <w:tc>
          <w:tcPr>
            <w:tcW w:w="595" w:type="pct"/>
            <w:vAlign w:val="center"/>
          </w:tcPr>
          <w:p w:rsidR="00DF459B" w:rsidRPr="00D03FB5" w:rsidRDefault="00DF459B" w:rsidP="001031EB">
            <w:pPr>
              <w:spacing w:line="240" w:lineRule="auto"/>
              <w:ind w:firstLine="0"/>
              <w:rPr>
                <w:b/>
                <w:sz w:val="24"/>
                <w:szCs w:val="24"/>
              </w:rPr>
            </w:pPr>
          </w:p>
          <w:p w:rsidR="00DF459B" w:rsidRPr="00D03FB5" w:rsidRDefault="00DF459B" w:rsidP="001031EB">
            <w:pPr>
              <w:spacing w:line="240" w:lineRule="auto"/>
              <w:ind w:firstLine="0"/>
              <w:rPr>
                <w:sz w:val="24"/>
                <w:szCs w:val="24"/>
              </w:rPr>
            </w:pPr>
            <w:r w:rsidRPr="00D03FB5">
              <w:rPr>
                <w:b/>
                <w:sz w:val="24"/>
                <w:szCs w:val="24"/>
              </w:rPr>
              <w:t>TOTALS</w:t>
            </w:r>
          </w:p>
        </w:tc>
        <w:tc>
          <w:tcPr>
            <w:tcW w:w="690" w:type="pct"/>
            <w:vAlign w:val="center"/>
          </w:tcPr>
          <w:p w:rsidR="00DF459B" w:rsidRPr="00D03FB5" w:rsidRDefault="00DF459B" w:rsidP="001031EB">
            <w:pPr>
              <w:tabs>
                <w:tab w:val="left" w:pos="1330"/>
              </w:tabs>
              <w:spacing w:line="240" w:lineRule="auto"/>
              <w:ind w:firstLine="0"/>
              <w:jc w:val="center"/>
              <w:rPr>
                <w:b/>
                <w:sz w:val="24"/>
                <w:szCs w:val="24"/>
              </w:rPr>
            </w:pPr>
            <w:r w:rsidRPr="00D03FB5">
              <w:rPr>
                <w:b/>
                <w:sz w:val="24"/>
                <w:szCs w:val="24"/>
              </w:rPr>
              <w:t>206,014</w:t>
            </w:r>
          </w:p>
        </w:tc>
        <w:tc>
          <w:tcPr>
            <w:tcW w:w="691" w:type="pct"/>
            <w:vAlign w:val="center"/>
          </w:tcPr>
          <w:p w:rsidR="00DF459B" w:rsidRPr="00D03FB5" w:rsidRDefault="00DF459B" w:rsidP="001031EB">
            <w:pPr>
              <w:spacing w:line="240" w:lineRule="auto"/>
              <w:ind w:firstLine="0"/>
              <w:jc w:val="center"/>
              <w:rPr>
                <w:b/>
                <w:sz w:val="24"/>
                <w:szCs w:val="24"/>
              </w:rPr>
            </w:pPr>
            <w:r w:rsidRPr="00D03FB5">
              <w:rPr>
                <w:b/>
                <w:sz w:val="24"/>
                <w:szCs w:val="24"/>
              </w:rPr>
              <w:t>100.000%</w:t>
            </w:r>
          </w:p>
        </w:tc>
        <w:tc>
          <w:tcPr>
            <w:tcW w:w="691" w:type="pct"/>
            <w:vAlign w:val="center"/>
          </w:tcPr>
          <w:p w:rsidR="00DF459B" w:rsidRPr="00D03FB5" w:rsidRDefault="00DF459B" w:rsidP="001031EB">
            <w:pPr>
              <w:spacing w:line="240" w:lineRule="auto"/>
              <w:ind w:firstLine="0"/>
              <w:jc w:val="center"/>
              <w:rPr>
                <w:b/>
                <w:sz w:val="24"/>
                <w:szCs w:val="24"/>
              </w:rPr>
            </w:pPr>
            <w:r w:rsidRPr="00D03FB5">
              <w:rPr>
                <w:b/>
                <w:sz w:val="24"/>
                <w:szCs w:val="24"/>
              </w:rPr>
              <w:t>100.001%</w:t>
            </w:r>
          </w:p>
        </w:tc>
        <w:tc>
          <w:tcPr>
            <w:tcW w:w="691" w:type="pct"/>
            <w:vAlign w:val="center"/>
          </w:tcPr>
          <w:p w:rsidR="00DF459B" w:rsidRPr="00D03FB5" w:rsidRDefault="00DF459B" w:rsidP="001031EB">
            <w:pPr>
              <w:spacing w:line="240" w:lineRule="auto"/>
              <w:ind w:hanging="10"/>
              <w:jc w:val="center"/>
              <w:rPr>
                <w:b/>
                <w:sz w:val="24"/>
                <w:szCs w:val="24"/>
              </w:rPr>
            </w:pPr>
            <w:r w:rsidRPr="00D03FB5">
              <w:rPr>
                <w:b/>
                <w:sz w:val="24"/>
                <w:szCs w:val="24"/>
              </w:rPr>
              <w:t>194,035</w:t>
            </w:r>
          </w:p>
        </w:tc>
        <w:tc>
          <w:tcPr>
            <w:tcW w:w="648" w:type="pct"/>
            <w:vAlign w:val="center"/>
          </w:tcPr>
          <w:p w:rsidR="00DF459B" w:rsidRPr="00D03FB5" w:rsidRDefault="00DF459B" w:rsidP="001031EB">
            <w:pPr>
              <w:spacing w:line="240" w:lineRule="auto"/>
              <w:ind w:firstLine="0"/>
              <w:jc w:val="center"/>
              <w:rPr>
                <w:sz w:val="24"/>
                <w:szCs w:val="24"/>
              </w:rPr>
            </w:pPr>
          </w:p>
        </w:tc>
        <w:tc>
          <w:tcPr>
            <w:tcW w:w="519" w:type="pct"/>
            <w:vAlign w:val="center"/>
          </w:tcPr>
          <w:p w:rsidR="00DF459B" w:rsidRPr="00D03FB5" w:rsidRDefault="00DF459B" w:rsidP="001031EB">
            <w:pPr>
              <w:spacing w:line="240" w:lineRule="auto"/>
              <w:ind w:firstLine="0"/>
              <w:jc w:val="center"/>
              <w:rPr>
                <w:sz w:val="24"/>
                <w:szCs w:val="24"/>
              </w:rPr>
            </w:pPr>
          </w:p>
        </w:tc>
        <w:tc>
          <w:tcPr>
            <w:tcW w:w="474" w:type="pct"/>
            <w:vAlign w:val="center"/>
          </w:tcPr>
          <w:p w:rsidR="00DF459B" w:rsidRPr="00D03FB5" w:rsidRDefault="00DF459B" w:rsidP="001031EB">
            <w:pPr>
              <w:spacing w:line="240" w:lineRule="auto"/>
              <w:ind w:firstLine="0"/>
              <w:jc w:val="center"/>
              <w:rPr>
                <w:sz w:val="24"/>
                <w:szCs w:val="24"/>
              </w:rPr>
            </w:pPr>
          </w:p>
        </w:tc>
      </w:tr>
    </w:tbl>
    <w:p w:rsidR="00DF459B" w:rsidRPr="00D03FB5" w:rsidRDefault="00DF459B" w:rsidP="00DF459B">
      <w:pPr>
        <w:spacing w:line="240" w:lineRule="auto"/>
        <w:rPr>
          <w:sz w:val="24"/>
          <w:szCs w:val="24"/>
        </w:rPr>
      </w:pPr>
      <w:r w:rsidRPr="00D03FB5">
        <w:rPr>
          <w:sz w:val="24"/>
          <w:szCs w:val="24"/>
        </w:rPr>
        <w:t>*p &lt; .001</w:t>
      </w:r>
    </w:p>
    <w:p w:rsidR="00DF459B" w:rsidRPr="00D03FB5" w:rsidRDefault="00DF459B" w:rsidP="00DF459B">
      <w:pPr>
        <w:spacing w:line="240" w:lineRule="auto"/>
        <w:rPr>
          <w:sz w:val="24"/>
          <w:szCs w:val="24"/>
        </w:rPr>
      </w:pPr>
    </w:p>
    <w:p w:rsidR="00DF459B" w:rsidRPr="00D03FB5" w:rsidRDefault="00DF459B" w:rsidP="00DF459B">
      <w:pPr>
        <w:spacing w:line="240" w:lineRule="auto"/>
        <w:ind w:firstLine="0"/>
        <w:jc w:val="center"/>
        <w:rPr>
          <w:sz w:val="24"/>
          <w:szCs w:val="24"/>
        </w:rPr>
      </w:pPr>
      <w:r w:rsidRPr="00D03FB5">
        <w:rPr>
          <w:sz w:val="24"/>
          <w:szCs w:val="24"/>
        </w:rPr>
        <w:t>Discussion</w:t>
      </w:r>
    </w:p>
    <w:p w:rsidR="00DF459B" w:rsidRPr="00D03FB5" w:rsidRDefault="00DF459B" w:rsidP="00DF459B">
      <w:pPr>
        <w:spacing w:line="240" w:lineRule="auto"/>
        <w:ind w:firstLine="0"/>
        <w:rPr>
          <w:sz w:val="24"/>
          <w:szCs w:val="24"/>
        </w:rPr>
      </w:pPr>
      <w:r w:rsidRPr="00D03FB5">
        <w:rPr>
          <w:sz w:val="24"/>
          <w:szCs w:val="24"/>
        </w:rPr>
        <w:t>Employer Industry</w:t>
      </w:r>
    </w:p>
    <w:p w:rsidR="00DF459B" w:rsidRPr="00D03FB5" w:rsidRDefault="00DF459B" w:rsidP="00DF459B">
      <w:pPr>
        <w:spacing w:line="240" w:lineRule="auto"/>
        <w:ind w:firstLine="0"/>
        <w:rPr>
          <w:sz w:val="24"/>
          <w:szCs w:val="24"/>
        </w:rPr>
      </w:pPr>
    </w:p>
    <w:p w:rsidR="00DF459B" w:rsidRPr="00D03FB5" w:rsidRDefault="00DF459B" w:rsidP="00DF459B">
      <w:pPr>
        <w:spacing w:line="240" w:lineRule="auto"/>
        <w:rPr>
          <w:sz w:val="24"/>
          <w:szCs w:val="24"/>
        </w:rPr>
      </w:pPr>
      <w:r w:rsidRPr="00D03FB5">
        <w:rPr>
          <w:sz w:val="24"/>
          <w:szCs w:val="24"/>
        </w:rPr>
        <w:t xml:space="preserve">The distinction between male allegations and female allegations is most notable as it relates to employer industry. Males file discrimination claims in more industries than females (9 vs. 6), and these claims are filed in traditionally male-dominated occupations. This finding is not surprising when interpreted in the context of occupational segregation. Research has established that the range of occupations in which women are employed is much smaller than the range of occupations in which men are employed. Although the U.S. Census recently identified more than 500 occupations, more than 30% of female employees in the United States work in just 10 of these occupations (Silva, 2003). Nor is it surprising that significantly more allegations were filed by females in the industries of accommodation and food services, retail trades, information, educational services, finance and insurance, and health care and social assistance given that women in general are employed at greater rates in these very industries. These findings provide evidence that occupational segregation in "pink-collar" fields is still a common occurrence in the American labor force, and from a career development perspective, could further restrict the range of occupational choices that both females and males with disabilities perceive as open to them. </w:t>
      </w:r>
    </w:p>
    <w:p w:rsidR="00DF459B" w:rsidRPr="00D03FB5" w:rsidRDefault="00DF459B" w:rsidP="00DF459B">
      <w:pPr>
        <w:spacing w:line="240" w:lineRule="auto"/>
        <w:ind w:firstLine="0"/>
        <w:rPr>
          <w:sz w:val="24"/>
          <w:szCs w:val="24"/>
        </w:rPr>
      </w:pPr>
    </w:p>
    <w:p w:rsidR="00DF459B" w:rsidRPr="00D03FB5" w:rsidRDefault="00DF459B" w:rsidP="00DF459B">
      <w:pPr>
        <w:spacing w:line="240" w:lineRule="auto"/>
        <w:ind w:firstLine="0"/>
        <w:rPr>
          <w:sz w:val="24"/>
          <w:szCs w:val="24"/>
        </w:rPr>
      </w:pPr>
      <w:r w:rsidRPr="00D03FB5">
        <w:rPr>
          <w:sz w:val="24"/>
          <w:szCs w:val="24"/>
        </w:rPr>
        <w:lastRenderedPageBreak/>
        <w:t>Employer Size</w:t>
      </w:r>
    </w:p>
    <w:p w:rsidR="00DF459B" w:rsidRPr="00D03FB5" w:rsidRDefault="00DF459B" w:rsidP="00DF459B">
      <w:pPr>
        <w:spacing w:line="240" w:lineRule="auto"/>
        <w:ind w:firstLine="0"/>
        <w:rPr>
          <w:sz w:val="24"/>
          <w:szCs w:val="24"/>
        </w:rPr>
      </w:pPr>
    </w:p>
    <w:p w:rsidR="00DF459B" w:rsidRPr="00D03FB5" w:rsidRDefault="00DF459B" w:rsidP="00DF459B">
      <w:pPr>
        <w:spacing w:line="240" w:lineRule="auto"/>
        <w:rPr>
          <w:sz w:val="24"/>
          <w:szCs w:val="24"/>
        </w:rPr>
      </w:pPr>
      <w:r w:rsidRPr="00D03FB5">
        <w:rPr>
          <w:sz w:val="24"/>
          <w:szCs w:val="24"/>
        </w:rPr>
        <w:t>The finding that proportionally more allegations were filed by males against employers with 15 to 100 employees while proportionally more allegations were filed by females against employers with 500+ employees could be interpreted in several ways. For example, small businesses with fewer than 500 employees represent over 99 percent of all employers (Bruyere, Erikson, &amp; VanLooy, 2006), and perhaps the industries in which the males in our study were more likely to be employed (e.g., manufacturing, construction, transportation and warehousing utilities, etc.) are clustered in small businesses. Conversely, employers with 500+ employees could be more likely to have a diversified workforce with more female employees, and the industries in which proportionally more female allegations are filed (e.g., health care and social assistance, finance and insurance, educational services, information, retail trades, accommodation and food services) are more likely to be clustered in businesses or organizations with a large number of employees. It is also likely that the acceptability of making a claim for women increases with larger organizations that tend to have more well developed ADA policies and procedures, arguably more widespread understanding of such issues across the board within the organization, and perhaps organizational cultures that support such claims.</w:t>
      </w:r>
    </w:p>
    <w:p w:rsidR="00DF459B" w:rsidRPr="00D03FB5" w:rsidRDefault="00DF459B" w:rsidP="00DF459B">
      <w:pPr>
        <w:spacing w:line="240" w:lineRule="auto"/>
        <w:rPr>
          <w:sz w:val="24"/>
          <w:szCs w:val="24"/>
        </w:rPr>
      </w:pPr>
    </w:p>
    <w:p w:rsidR="00DF459B" w:rsidRPr="00D03FB5" w:rsidRDefault="00DF459B" w:rsidP="00DF459B">
      <w:pPr>
        <w:spacing w:line="240" w:lineRule="auto"/>
        <w:ind w:firstLine="0"/>
        <w:rPr>
          <w:sz w:val="24"/>
          <w:szCs w:val="24"/>
        </w:rPr>
      </w:pPr>
      <w:r w:rsidRPr="00D03FB5">
        <w:rPr>
          <w:sz w:val="24"/>
          <w:szCs w:val="24"/>
        </w:rPr>
        <w:t>Employer Region</w:t>
      </w: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r w:rsidRPr="00D03FB5">
        <w:rPr>
          <w:sz w:val="24"/>
          <w:szCs w:val="24"/>
        </w:rPr>
        <w:t xml:space="preserve">Proportionately more allegations are filed by males against employers located in the Northeast and Midwest regions of the U.S., with there being no regional pattern for females.  On one hand, this finding is not surprising, given that labor unionization has traditionally been more heavily concentrated in these regions (Schmitt &amp; Warner, 2010), and employees may feel more empowered to seek recourse if they have a union to represent them (Budd, 2006). On the other hand, women (with and without disabilities) accounted for 45.2 percent of unionized laborers in 2008, representing a 35.4 percent increase since 1980 (Schmitt &amp; Warner, 2010). If this trend continues, it is projected that by 2020, women will represent the majority of unionized workers. Coupled with this trend, the number of unionized workers in the manufacturing industry is declining while it is increasing in the service industry and the public sector (Schmitt &amp; Warner, 2010). Thus, because these are the very industries in which proportionally more female allegations in comparison to male allegations were filed, we can anticipate that the number of claims filed by women with disabilities will steadily increase in the coming years. </w:t>
      </w:r>
    </w:p>
    <w:p w:rsidR="00DF459B" w:rsidRPr="00D03FB5" w:rsidRDefault="00DF459B" w:rsidP="00DF459B">
      <w:pPr>
        <w:spacing w:line="240" w:lineRule="auto"/>
        <w:rPr>
          <w:sz w:val="24"/>
          <w:szCs w:val="24"/>
        </w:rPr>
      </w:pPr>
    </w:p>
    <w:p w:rsidR="00DF459B" w:rsidRPr="00D03FB5" w:rsidRDefault="00DF459B" w:rsidP="00DF459B">
      <w:pPr>
        <w:spacing w:line="240" w:lineRule="auto"/>
        <w:ind w:firstLine="0"/>
        <w:rPr>
          <w:sz w:val="24"/>
          <w:szCs w:val="24"/>
        </w:rPr>
      </w:pPr>
      <w:r w:rsidRPr="00D03FB5">
        <w:rPr>
          <w:sz w:val="24"/>
          <w:szCs w:val="24"/>
        </w:rPr>
        <w:t>Implications for Rehabilitation Professionals</w:t>
      </w: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r w:rsidRPr="00D03FB5">
        <w:rPr>
          <w:sz w:val="24"/>
          <w:szCs w:val="24"/>
        </w:rPr>
        <w:t xml:space="preserve">In examining industry-related differences in the employment discrimination experiences of women and men with disabilities, it becomes apparent that gender-specific considerations in rehabilitation planning process are warranted. As Baldwin and Johnson (1995, p. 575) noted, "Efforts to reduce discrimination against women [and men] with disabilities will not be effective if they are based on the idea that gender is irrelevant." Thus, it is imperative that rehabilitation counselors understand the dual disadvantage of sexism and ableism that exists for women with disabilities (Reed, 1999). In this regard, rehabilitation counselors must be cautious not to steer consumers toward gender-stereotyped occupations.  Female consumers, in particular, should be encouraged to pursue careers in fields that have traditionally excluded them on the basis of either or both disability and gender. Non-traditional occupations span all major occupational groups </w:t>
      </w:r>
      <w:r w:rsidRPr="00D03FB5">
        <w:rPr>
          <w:sz w:val="24"/>
          <w:szCs w:val="24"/>
        </w:rPr>
        <w:lastRenderedPageBreak/>
        <w:t>and growth in the economy is projected to occur in many of these occupations (Women's Bureau, 2008). These offer higher entry-level wages and career ladders that provide numerous opportunities for growth and advancement. At present, jobs in information technology are among the fastest growing occupations in the labor market, but women are less likely than men to pursue educational training to prepare them for these occupations (Silva, 2003).  Career development interventions that emphasize consideration and pursuit of non-traditional occupational goals should be implemented based on feminist principles such as choice, advocacy, equality and inclusion, and education and mentoring (Reed, 1999).</w:t>
      </w: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r w:rsidRPr="00D03FB5">
        <w:rPr>
          <w:sz w:val="24"/>
          <w:szCs w:val="24"/>
        </w:rPr>
        <w:t>Along with  encouraging consumers to consider non-stereotypical occupations as career goals, self-advocacy training that encompasses consideration of the dual disadvantage of sexism and ableism should be designed to (a) inform  individuals with disabilities of differences in male and female reporting patterns in relation to employer characteristics. This may increase awareness and influence understanding and application of the ADA more evenly across the board. Self-advocacy training should also (b) increase consumer understanding of their rights as mandated by other civil rights protections in addition to the ADA,  and (c) proactively prepare consumers to anticipate and respond to discriminatory behavior of employers, as employment discrimination against individuals who have traditionally been excluded from gender-stereotyped occupations is well documented.</w:t>
      </w: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r w:rsidRPr="00D03FB5">
        <w:rPr>
          <w:sz w:val="24"/>
          <w:szCs w:val="24"/>
        </w:rPr>
        <w:t xml:space="preserve">These findings also have implications for providing technical assistance to employers. Regional disability technical assistance and business centers (DBTACs) should target general training to all employers about the reporting patterns of males and females in relation to industry characteristics.  Brief training interventions can be developed that have a twofold purpose: (1) to illuminate current reporting patterns of males and females as they relate to employer characteristics, and (2) to generate ideas on why these patterns prevail by way of brief focus groups.  Ideas generated from the second purpose can then be packaged in a palatable manner as part of standard educational efforts about the ADA and other anti-discrimination legislation as per the efforts of DBTACs and other entities that interface routinely with employers around ADA topics.  These entities can also develop short issue briefs to disseminate to employers and private rehabilitation professionals that outline these reporting patterns and strategies that employers can implement to decrease the likelihood that their employees will file discrimination charges with the EEOC.   </w:t>
      </w:r>
    </w:p>
    <w:p w:rsidR="00DF459B" w:rsidRPr="00D03FB5" w:rsidRDefault="00DF459B" w:rsidP="00DF459B">
      <w:pPr>
        <w:spacing w:line="240" w:lineRule="auto"/>
        <w:rPr>
          <w:sz w:val="24"/>
          <w:szCs w:val="24"/>
        </w:rPr>
      </w:pPr>
    </w:p>
    <w:p w:rsidR="00DF459B" w:rsidRPr="00D03FB5" w:rsidRDefault="00DF459B" w:rsidP="00DF459B">
      <w:pPr>
        <w:spacing w:line="240" w:lineRule="auto"/>
        <w:ind w:firstLine="0"/>
        <w:rPr>
          <w:sz w:val="24"/>
          <w:szCs w:val="24"/>
        </w:rPr>
      </w:pPr>
      <w:r w:rsidRPr="00D03FB5">
        <w:rPr>
          <w:sz w:val="24"/>
          <w:szCs w:val="24"/>
        </w:rPr>
        <w:t>Future Research</w:t>
      </w: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r w:rsidRPr="00D03FB5">
        <w:rPr>
          <w:sz w:val="24"/>
          <w:szCs w:val="24"/>
        </w:rPr>
        <w:t xml:space="preserve">In considering future research directions, the limitations of the current study should be noted. First, we only examined allegations of discrimination in relation to employer characteristics and not the EEOC’s legal outcome or resolution of those allegations. Therefore, additional research is needed to examine the role of gender and employer characteristics in predicting outcomes.  A limitation of the data set used is that specific occupations within industry are not designated. Thus, there is no way to determine if differences between men and women with disabilities occur in relation to the status of jobs they occupy. An investigation of specific jobs held by charging parties in relation to gender is thus warranted. Future research is also needed to examine the interaction effects of employer characteristics with charging party characteristics on discrimination allegations. Regardless of whether the industry differences </w:t>
      </w:r>
      <w:r w:rsidRPr="00D03FB5">
        <w:rPr>
          <w:sz w:val="24"/>
          <w:szCs w:val="24"/>
        </w:rPr>
        <w:lastRenderedPageBreak/>
        <w:t xml:space="preserve">found in this study reflect cross-industry worker characteristics or actual gender by disability employer biases, there is a need to examine in greater detail how industry type influences both the rate and type of allegations filed with the EEOC and employer responses to the on-the-job needs of male and female workers with disabilities. Finally, there is a need to design, implement, and evaluate rehabilitation interventions that prepare women with disabilities for employment in non-traditional, high growth occupations where they will earn higher wages. An examination of strategies that have been implemented to increase labor force participation of females in science and engineering fields could help to inform the design of these interventions.  </w:t>
      </w:r>
    </w:p>
    <w:p w:rsidR="00DF459B" w:rsidRPr="00D03FB5" w:rsidRDefault="00DF459B" w:rsidP="00DF459B">
      <w:pPr>
        <w:spacing w:line="240" w:lineRule="auto"/>
        <w:rPr>
          <w:sz w:val="24"/>
          <w:szCs w:val="24"/>
        </w:rPr>
      </w:pPr>
    </w:p>
    <w:p w:rsidR="00DF459B" w:rsidRPr="00D03FB5" w:rsidRDefault="00DF459B" w:rsidP="00DF459B">
      <w:pPr>
        <w:spacing w:line="240" w:lineRule="auto"/>
        <w:rPr>
          <w:sz w:val="24"/>
          <w:szCs w:val="24"/>
        </w:rPr>
      </w:pPr>
    </w:p>
    <w:p w:rsidR="00DF459B" w:rsidRPr="00D03FB5" w:rsidRDefault="00DF459B" w:rsidP="00DF459B">
      <w:pPr>
        <w:spacing w:line="240" w:lineRule="auto"/>
        <w:ind w:firstLine="0"/>
        <w:rPr>
          <w:sz w:val="24"/>
          <w:szCs w:val="24"/>
        </w:rPr>
      </w:pPr>
      <w:r w:rsidRPr="00D03FB5">
        <w:rPr>
          <w:b/>
          <w:sz w:val="24"/>
          <w:szCs w:val="24"/>
        </w:rPr>
        <w:t>Lynn Koch, Ph.D.</w:t>
      </w:r>
      <w:r w:rsidRPr="00D03FB5">
        <w:rPr>
          <w:sz w:val="24"/>
          <w:szCs w:val="24"/>
        </w:rPr>
        <w:t>, is professor of Rehabilitation Education and Research Rehabilitation, Human Resources and Communication Disorders at the University of Arkansas. Dr. Koch is a certified rehabilitation counselor and former vocational rehabilitation counselor and has authored or co-authored more than 70 publications related to disability, vocational rehabilitation, and rehabilitation education.</w:t>
      </w:r>
    </w:p>
    <w:p w:rsidR="00DF459B" w:rsidRPr="00D03FB5" w:rsidRDefault="00DF459B" w:rsidP="00DF459B">
      <w:pPr>
        <w:spacing w:line="240" w:lineRule="auto"/>
        <w:ind w:firstLine="0"/>
        <w:rPr>
          <w:sz w:val="24"/>
          <w:szCs w:val="24"/>
        </w:rPr>
      </w:pPr>
    </w:p>
    <w:p w:rsidR="00DF459B" w:rsidRPr="00D03FB5" w:rsidRDefault="00DF459B" w:rsidP="00DF459B">
      <w:pPr>
        <w:spacing w:line="240" w:lineRule="auto"/>
        <w:ind w:firstLine="0"/>
        <w:rPr>
          <w:sz w:val="24"/>
          <w:szCs w:val="24"/>
        </w:rPr>
      </w:pPr>
      <w:r w:rsidRPr="00D03FB5">
        <w:rPr>
          <w:b/>
          <w:sz w:val="24"/>
          <w:szCs w:val="24"/>
        </w:rPr>
        <w:t>Amy J. Armstrong, Ph.D., CRC</w:t>
      </w:r>
      <w:r w:rsidRPr="00D03FB5">
        <w:rPr>
          <w:sz w:val="24"/>
          <w:szCs w:val="24"/>
        </w:rPr>
        <w:t xml:space="preserve"> is an associate professor at Virginia Commonwealth University, Department of Rehabilitation Counseling. Dr. Armstrong has 27 years experience working in the field of disability, community integration and employment.</w:t>
      </w:r>
    </w:p>
    <w:p w:rsidR="00DF459B" w:rsidRPr="00D03FB5" w:rsidRDefault="00DF459B" w:rsidP="00DF459B">
      <w:pPr>
        <w:spacing w:line="240" w:lineRule="auto"/>
        <w:ind w:firstLine="0"/>
        <w:rPr>
          <w:sz w:val="24"/>
          <w:szCs w:val="24"/>
        </w:rPr>
      </w:pPr>
    </w:p>
    <w:p w:rsidR="00DF459B" w:rsidRPr="00D03FB5" w:rsidRDefault="00DF459B" w:rsidP="00DF459B">
      <w:pPr>
        <w:spacing w:line="240" w:lineRule="auto"/>
        <w:ind w:firstLine="0"/>
        <w:rPr>
          <w:sz w:val="24"/>
          <w:szCs w:val="24"/>
        </w:rPr>
      </w:pPr>
      <w:r w:rsidRPr="00D03FB5">
        <w:rPr>
          <w:b/>
          <w:sz w:val="24"/>
          <w:szCs w:val="24"/>
        </w:rPr>
        <w:t>Allen N. Lewis, Ph.D.</w:t>
      </w:r>
      <w:r w:rsidRPr="00D03FB5">
        <w:rPr>
          <w:sz w:val="24"/>
          <w:szCs w:val="24"/>
        </w:rPr>
        <w:t>, is associate professor and chair of the Department of Rehabilitation Counseling in the School of Allied Health Professions at Virginia Commonwealth University in Richmond, VA, USA.  Dr. Lewis has had a 27-year career as an academic, administrator, program evaluator, and clinician in public health and disability services systems.</w:t>
      </w:r>
    </w:p>
    <w:p w:rsidR="00DF459B" w:rsidRPr="00D03FB5" w:rsidRDefault="00DF459B" w:rsidP="00DF459B">
      <w:pPr>
        <w:spacing w:line="240" w:lineRule="auto"/>
        <w:ind w:firstLine="0"/>
        <w:rPr>
          <w:sz w:val="24"/>
          <w:szCs w:val="24"/>
        </w:rPr>
      </w:pPr>
    </w:p>
    <w:p w:rsidR="00DF459B" w:rsidRPr="00D03FB5" w:rsidRDefault="00DF459B" w:rsidP="00DF459B">
      <w:pPr>
        <w:spacing w:line="240" w:lineRule="auto"/>
        <w:ind w:firstLine="0"/>
        <w:rPr>
          <w:sz w:val="24"/>
          <w:szCs w:val="24"/>
        </w:rPr>
      </w:pPr>
      <w:r w:rsidRPr="00D03FB5">
        <w:rPr>
          <w:b/>
          <w:sz w:val="24"/>
          <w:szCs w:val="24"/>
        </w:rPr>
        <w:t>Jessica E. Hurley, M.S., CRC</w:t>
      </w:r>
      <w:r w:rsidRPr="00D03FB5">
        <w:rPr>
          <w:sz w:val="24"/>
          <w:szCs w:val="24"/>
        </w:rPr>
        <w:t xml:space="preserve"> is a Ph.D. candidate at Virginia Commonwealth University, School of Allied Health Professions. Ms. Hurley has a M.S. in Rehabilitation Counseling and has over 20 publications, primarily in the area of employment and disability.</w:t>
      </w:r>
    </w:p>
    <w:p w:rsidR="00DF459B" w:rsidRPr="00D03FB5" w:rsidRDefault="00DF459B" w:rsidP="00DF459B">
      <w:pPr>
        <w:spacing w:line="240" w:lineRule="auto"/>
        <w:ind w:firstLine="0"/>
        <w:rPr>
          <w:sz w:val="24"/>
          <w:szCs w:val="24"/>
        </w:rPr>
      </w:pPr>
    </w:p>
    <w:p w:rsidR="00DF459B" w:rsidRPr="00D03FB5" w:rsidRDefault="00DF459B" w:rsidP="00DF459B">
      <w:pPr>
        <w:spacing w:line="240" w:lineRule="auto"/>
        <w:ind w:firstLine="0"/>
        <w:rPr>
          <w:sz w:val="24"/>
          <w:szCs w:val="24"/>
        </w:rPr>
      </w:pPr>
      <w:r w:rsidRPr="00D03FB5">
        <w:rPr>
          <w:b/>
          <w:sz w:val="24"/>
          <w:szCs w:val="24"/>
        </w:rPr>
        <w:t>Pam Lewis, Ph.D.,</w:t>
      </w:r>
      <w:r w:rsidRPr="00D03FB5">
        <w:rPr>
          <w:sz w:val="24"/>
          <w:szCs w:val="24"/>
        </w:rPr>
        <w:t xml:space="preserve"> is a post doctoral fellow in the Department of Rehabilitation Counseling in the School of Allied Health Professions at Virginia Commonwealth University in Richmond, VA, USA.  Dr. Lewis has had a 30-year career in public mental health, and is currently employed at the Virginia Department of Medical Assistance Services.</w:t>
      </w:r>
    </w:p>
    <w:p w:rsidR="00DF459B" w:rsidRPr="00D03FB5" w:rsidRDefault="00DF459B" w:rsidP="00DF459B">
      <w:pPr>
        <w:adjustRightInd w:val="0"/>
        <w:spacing w:line="240" w:lineRule="auto"/>
        <w:ind w:firstLine="0"/>
        <w:rPr>
          <w:sz w:val="24"/>
          <w:szCs w:val="24"/>
        </w:rPr>
      </w:pPr>
    </w:p>
    <w:p w:rsidR="00DF459B" w:rsidRPr="00D03FB5" w:rsidRDefault="00DF459B" w:rsidP="00DF459B">
      <w:pPr>
        <w:adjustRightInd w:val="0"/>
        <w:spacing w:line="240" w:lineRule="auto"/>
        <w:ind w:firstLine="0"/>
        <w:rPr>
          <w:sz w:val="24"/>
          <w:szCs w:val="24"/>
        </w:rPr>
      </w:pPr>
      <w:r w:rsidRPr="00D03FB5">
        <w:rPr>
          <w:b/>
          <w:sz w:val="24"/>
          <w:szCs w:val="24"/>
        </w:rPr>
        <w:t>Brian T McMahon, Ph.D., CRC</w:t>
      </w:r>
      <w:r w:rsidRPr="00D03FB5">
        <w:rPr>
          <w:sz w:val="24"/>
          <w:szCs w:val="24"/>
        </w:rPr>
        <w:t xml:space="preserve"> is a full professor at Virginia Commonwealth University and holds appointments in four schools including the School of Medicine’s Department of Physical Medicine and Rehabilitation. Currently, Dr. McMahon studies workplace discrimination and disability for the U.S. Equal Opportunity Employment Commission.</w:t>
      </w:r>
    </w:p>
    <w:p w:rsidR="00DF459B" w:rsidRPr="00D03FB5" w:rsidRDefault="00DF459B" w:rsidP="00DF459B">
      <w:pPr>
        <w:adjustRightInd w:val="0"/>
        <w:spacing w:line="240" w:lineRule="auto"/>
        <w:ind w:firstLine="0"/>
        <w:rPr>
          <w:sz w:val="24"/>
          <w:szCs w:val="24"/>
        </w:rPr>
      </w:pPr>
    </w:p>
    <w:p w:rsidR="00DF459B" w:rsidRPr="00D03FB5" w:rsidRDefault="00DF459B" w:rsidP="00DF459B">
      <w:pPr>
        <w:adjustRightInd w:val="0"/>
        <w:spacing w:line="240" w:lineRule="auto"/>
        <w:ind w:firstLine="0"/>
        <w:jc w:val="center"/>
        <w:rPr>
          <w:sz w:val="24"/>
          <w:szCs w:val="24"/>
        </w:rPr>
      </w:pPr>
      <w:r w:rsidRPr="00D03FB5">
        <w:rPr>
          <w:sz w:val="24"/>
          <w:szCs w:val="24"/>
        </w:rPr>
        <w:t>References</w:t>
      </w:r>
    </w:p>
    <w:p w:rsidR="00DF459B" w:rsidRPr="00D03FB5" w:rsidRDefault="00DF459B" w:rsidP="00DF459B">
      <w:pPr>
        <w:adjustRightInd w:val="0"/>
        <w:spacing w:line="240" w:lineRule="auto"/>
        <w:rPr>
          <w:sz w:val="24"/>
          <w:szCs w:val="24"/>
          <w:lang w:eastAsia="zh-CN"/>
        </w:rPr>
      </w:pPr>
    </w:p>
    <w:p w:rsidR="00DF459B" w:rsidRPr="00D03FB5" w:rsidRDefault="00DF459B" w:rsidP="00DF459B">
      <w:pPr>
        <w:adjustRightInd w:val="0"/>
        <w:spacing w:line="240" w:lineRule="auto"/>
        <w:ind w:left="720" w:hanging="720"/>
        <w:rPr>
          <w:sz w:val="24"/>
          <w:szCs w:val="24"/>
          <w:lang w:eastAsia="zh-CN"/>
        </w:rPr>
      </w:pPr>
      <w:proofErr w:type="gramStart"/>
      <w:r w:rsidRPr="00D03FB5">
        <w:rPr>
          <w:sz w:val="24"/>
          <w:szCs w:val="24"/>
        </w:rPr>
        <w:t>Acemoglu, D. and Angrist, J. (1998).</w:t>
      </w:r>
      <w:proofErr w:type="gramEnd"/>
      <w:r w:rsidRPr="00D03FB5">
        <w:rPr>
          <w:sz w:val="24"/>
          <w:szCs w:val="24"/>
        </w:rPr>
        <w:t xml:space="preserve">  </w:t>
      </w:r>
      <w:r w:rsidRPr="00D03FB5">
        <w:rPr>
          <w:i/>
          <w:sz w:val="24"/>
          <w:szCs w:val="24"/>
        </w:rPr>
        <w:t>The case of the Americans with Disabilities Act 11</w:t>
      </w:r>
      <w:r w:rsidRPr="00D03FB5">
        <w:rPr>
          <w:sz w:val="24"/>
          <w:szCs w:val="24"/>
        </w:rPr>
        <w:t xml:space="preserve"> (Working Paper No. 6670). Retrieved from the National Bureau of Economic Research website, </w:t>
      </w:r>
      <w:hyperlink r:id="rId5" w:tgtFrame="1" w:history="1">
        <w:r w:rsidRPr="00D03FB5">
          <w:rPr>
            <w:rStyle w:val="Hyperlink"/>
            <w:color w:val="auto"/>
            <w:sz w:val="24"/>
            <w:szCs w:val="24"/>
          </w:rPr>
          <w:t>http://ideas.repec.org/p/nbr/nberwo/6670.html</w:t>
        </w:r>
      </w:hyperlink>
    </w:p>
    <w:p w:rsidR="00DF459B" w:rsidRPr="00D03FB5" w:rsidRDefault="00DF459B" w:rsidP="00DF459B">
      <w:pPr>
        <w:spacing w:line="240" w:lineRule="auto"/>
        <w:ind w:left="720" w:hanging="720"/>
        <w:rPr>
          <w:sz w:val="24"/>
          <w:szCs w:val="24"/>
        </w:rPr>
      </w:pPr>
    </w:p>
    <w:p w:rsidR="00DF459B" w:rsidRPr="00D03FB5" w:rsidRDefault="00DF459B" w:rsidP="00DF459B">
      <w:pPr>
        <w:adjustRightInd w:val="0"/>
        <w:spacing w:line="240" w:lineRule="auto"/>
        <w:ind w:left="720" w:hanging="720"/>
        <w:rPr>
          <w:sz w:val="24"/>
          <w:szCs w:val="24"/>
        </w:rPr>
      </w:pPr>
      <w:r w:rsidRPr="00D03FB5">
        <w:rPr>
          <w:sz w:val="24"/>
          <w:szCs w:val="24"/>
          <w:lang w:val="de-DE"/>
        </w:rPr>
        <w:lastRenderedPageBreak/>
        <w:t xml:space="preserve">Altman B., &amp; Bernstein A. (2008). </w:t>
      </w:r>
      <w:proofErr w:type="gramStart"/>
      <w:r w:rsidRPr="00D03FB5">
        <w:rPr>
          <w:sz w:val="24"/>
          <w:szCs w:val="24"/>
        </w:rPr>
        <w:t>Disability and health in the United States, 2001–2005.</w:t>
      </w:r>
      <w:proofErr w:type="gramEnd"/>
      <w:r w:rsidRPr="00D03FB5">
        <w:rPr>
          <w:sz w:val="24"/>
          <w:szCs w:val="24"/>
        </w:rPr>
        <w:t xml:space="preserve"> Hyattsville, MD: National Center for Health Statistics. </w:t>
      </w:r>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spacing w:line="240" w:lineRule="auto"/>
        <w:ind w:left="720" w:hanging="720"/>
        <w:rPr>
          <w:sz w:val="24"/>
          <w:szCs w:val="24"/>
        </w:rPr>
      </w:pPr>
      <w:r w:rsidRPr="00D03FB5">
        <w:rPr>
          <w:sz w:val="24"/>
          <w:szCs w:val="24"/>
        </w:rPr>
        <w:t xml:space="preserve">Armstrong, A. J., Koch, L. C., Lewis, A. N., Hurley, J. E., Lewis, P. H., McMahon, B. T. (2011).  Gender, disability, and ADA Title </w:t>
      </w:r>
      <w:proofErr w:type="gramStart"/>
      <w:r w:rsidRPr="00D03FB5">
        <w:rPr>
          <w:sz w:val="24"/>
          <w:szCs w:val="24"/>
        </w:rPr>
        <w:t>I</w:t>
      </w:r>
      <w:proofErr w:type="gramEnd"/>
      <w:r w:rsidRPr="00D03FB5">
        <w:rPr>
          <w:sz w:val="24"/>
          <w:szCs w:val="24"/>
        </w:rPr>
        <w:t xml:space="preserve"> employment discrimination: A comparison of male and female charging party characteristics. </w:t>
      </w:r>
      <w:proofErr w:type="gramStart"/>
      <w:r w:rsidRPr="00D03FB5">
        <w:rPr>
          <w:i/>
          <w:sz w:val="24"/>
          <w:szCs w:val="24"/>
        </w:rPr>
        <w:t>Review of Disability Studies, 7</w:t>
      </w:r>
      <w:r w:rsidRPr="00D03FB5">
        <w:rPr>
          <w:sz w:val="24"/>
          <w:szCs w:val="24"/>
        </w:rPr>
        <w:t>(1).</w:t>
      </w:r>
      <w:proofErr w:type="gramEnd"/>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adjustRightInd w:val="0"/>
        <w:spacing w:line="240" w:lineRule="auto"/>
        <w:ind w:left="720" w:hanging="720"/>
        <w:rPr>
          <w:sz w:val="24"/>
          <w:szCs w:val="24"/>
        </w:rPr>
      </w:pPr>
      <w:proofErr w:type="gramStart"/>
      <w:r w:rsidRPr="00D03FB5">
        <w:rPr>
          <w:sz w:val="24"/>
          <w:szCs w:val="24"/>
        </w:rPr>
        <w:t xml:space="preserve">Asch, A., </w:t>
      </w:r>
      <w:r w:rsidRPr="00D03FB5">
        <w:rPr>
          <w:sz w:val="24"/>
          <w:szCs w:val="24"/>
          <w:lang w:eastAsia="zh-CN"/>
        </w:rPr>
        <w:t>&amp;</w:t>
      </w:r>
      <w:r w:rsidRPr="00D03FB5">
        <w:rPr>
          <w:sz w:val="24"/>
          <w:szCs w:val="24"/>
        </w:rPr>
        <w:t xml:space="preserve"> Fine, M. (1988).</w:t>
      </w:r>
      <w:proofErr w:type="gramEnd"/>
      <w:r w:rsidRPr="00D03FB5">
        <w:rPr>
          <w:sz w:val="24"/>
          <w:szCs w:val="24"/>
        </w:rPr>
        <w:t xml:space="preserve">  Introduction:  Beyond pedestals.  In M. Fine and A. Asch (Eds.), </w:t>
      </w:r>
      <w:r w:rsidRPr="00D03FB5">
        <w:rPr>
          <w:i/>
          <w:sz w:val="24"/>
          <w:szCs w:val="24"/>
        </w:rPr>
        <w:t>Women with disabilities:  Essays in psychology, culture and politics</w:t>
      </w:r>
      <w:r w:rsidRPr="00D03FB5">
        <w:rPr>
          <w:sz w:val="24"/>
          <w:szCs w:val="24"/>
        </w:rPr>
        <w:t>.  Philadelphia, PA:  Temple University Press.</w:t>
      </w:r>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adjustRightInd w:val="0"/>
        <w:spacing w:line="240" w:lineRule="auto"/>
        <w:ind w:left="720" w:hanging="720"/>
        <w:rPr>
          <w:sz w:val="24"/>
          <w:szCs w:val="24"/>
        </w:rPr>
      </w:pPr>
      <w:proofErr w:type="gramStart"/>
      <w:r w:rsidRPr="00D03FB5">
        <w:rPr>
          <w:sz w:val="24"/>
          <w:szCs w:val="24"/>
        </w:rPr>
        <w:t>Baldwin, M. (1991).</w:t>
      </w:r>
      <w:proofErr w:type="gramEnd"/>
      <w:r w:rsidRPr="00D03FB5">
        <w:rPr>
          <w:sz w:val="24"/>
          <w:szCs w:val="24"/>
        </w:rPr>
        <w:t xml:space="preserve"> </w:t>
      </w:r>
      <w:proofErr w:type="gramStart"/>
      <w:r w:rsidRPr="00D03FB5">
        <w:rPr>
          <w:sz w:val="24"/>
          <w:szCs w:val="24"/>
        </w:rPr>
        <w:t>Evidence on the occupational segregation of women with disabilities.</w:t>
      </w:r>
      <w:proofErr w:type="gramEnd"/>
      <w:r w:rsidRPr="00D03FB5">
        <w:rPr>
          <w:sz w:val="24"/>
          <w:szCs w:val="24"/>
        </w:rPr>
        <w:t xml:space="preserve"> </w:t>
      </w:r>
      <w:r w:rsidRPr="00D03FB5">
        <w:rPr>
          <w:i/>
          <w:sz w:val="24"/>
          <w:szCs w:val="24"/>
        </w:rPr>
        <w:t>Journal of Disability Policy Studies, 2</w:t>
      </w:r>
      <w:r w:rsidRPr="00D03FB5">
        <w:rPr>
          <w:sz w:val="24"/>
          <w:szCs w:val="24"/>
        </w:rPr>
        <w:t>(3), 31-47.</w:t>
      </w:r>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adjustRightInd w:val="0"/>
        <w:spacing w:line="240" w:lineRule="auto"/>
        <w:ind w:left="720" w:hanging="720"/>
        <w:rPr>
          <w:sz w:val="24"/>
          <w:szCs w:val="24"/>
          <w:lang w:eastAsia="zh-CN"/>
        </w:rPr>
      </w:pPr>
      <w:proofErr w:type="gramStart"/>
      <w:r w:rsidRPr="00D03FB5">
        <w:rPr>
          <w:sz w:val="24"/>
          <w:szCs w:val="24"/>
          <w:lang w:eastAsia="zh-CN"/>
        </w:rPr>
        <w:t>Baldwin, M., &amp; Johnson, W. (1995).</w:t>
      </w:r>
      <w:proofErr w:type="gramEnd"/>
      <w:r w:rsidRPr="00D03FB5">
        <w:rPr>
          <w:sz w:val="24"/>
          <w:szCs w:val="24"/>
          <w:lang w:eastAsia="zh-CN"/>
        </w:rPr>
        <w:t xml:space="preserve">  </w:t>
      </w:r>
      <w:proofErr w:type="gramStart"/>
      <w:r w:rsidRPr="00D03FB5">
        <w:rPr>
          <w:sz w:val="24"/>
          <w:szCs w:val="24"/>
          <w:lang w:eastAsia="zh-CN"/>
        </w:rPr>
        <w:t xml:space="preserve">Labor market discrimination against females with disabilities, </w:t>
      </w:r>
      <w:r w:rsidRPr="00D03FB5">
        <w:rPr>
          <w:i/>
          <w:iCs/>
          <w:sz w:val="24"/>
          <w:szCs w:val="24"/>
          <w:lang w:eastAsia="zh-CN"/>
        </w:rPr>
        <w:t>Industrial Relations</w:t>
      </w:r>
      <w:r w:rsidRPr="00D03FB5">
        <w:rPr>
          <w:i/>
          <w:sz w:val="24"/>
          <w:szCs w:val="24"/>
          <w:lang w:eastAsia="zh-CN"/>
        </w:rPr>
        <w:t>, 34</w:t>
      </w:r>
      <w:r w:rsidRPr="00D03FB5">
        <w:rPr>
          <w:sz w:val="24"/>
          <w:szCs w:val="24"/>
          <w:lang w:eastAsia="zh-CN"/>
        </w:rPr>
        <w:t>, 555–577.</w:t>
      </w:r>
      <w:proofErr w:type="gramEnd"/>
    </w:p>
    <w:p w:rsidR="00DF459B" w:rsidRPr="00D03FB5" w:rsidRDefault="00DF459B" w:rsidP="00DF459B">
      <w:pPr>
        <w:adjustRightInd w:val="0"/>
        <w:spacing w:line="240" w:lineRule="auto"/>
        <w:ind w:left="720" w:hanging="720"/>
        <w:rPr>
          <w:sz w:val="24"/>
          <w:szCs w:val="24"/>
          <w:lang w:eastAsia="zh-CN"/>
        </w:rPr>
      </w:pPr>
    </w:p>
    <w:p w:rsidR="00DF459B" w:rsidRPr="00D03FB5" w:rsidRDefault="00DF459B" w:rsidP="00DF459B">
      <w:pPr>
        <w:adjustRightInd w:val="0"/>
        <w:spacing w:line="240" w:lineRule="auto"/>
        <w:ind w:left="720" w:hanging="720"/>
        <w:rPr>
          <w:sz w:val="24"/>
          <w:szCs w:val="24"/>
          <w:lang w:eastAsia="zh-CN"/>
        </w:rPr>
      </w:pPr>
      <w:r w:rsidRPr="00D03FB5">
        <w:rPr>
          <w:sz w:val="24"/>
          <w:szCs w:val="24"/>
          <w:lang w:eastAsia="zh-CN"/>
        </w:rPr>
        <w:t xml:space="preserve">Baldwin, M., Johnson, W., &amp; Watson, S. (1993).  </w:t>
      </w:r>
      <w:r w:rsidRPr="00D03FB5">
        <w:rPr>
          <w:i/>
          <w:iCs/>
          <w:sz w:val="24"/>
          <w:szCs w:val="24"/>
          <w:lang w:eastAsia="zh-CN"/>
        </w:rPr>
        <w:t xml:space="preserve">A double burden of discrimination: Females with disabilities. </w:t>
      </w:r>
      <w:r w:rsidRPr="00D03FB5">
        <w:rPr>
          <w:sz w:val="24"/>
          <w:szCs w:val="24"/>
          <w:lang w:eastAsia="zh-CN"/>
        </w:rPr>
        <w:t>Washington, DC: Center for the Study of Social Policy.</w:t>
      </w:r>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adjustRightInd w:val="0"/>
        <w:spacing w:line="240" w:lineRule="auto"/>
        <w:ind w:left="720" w:hanging="720"/>
        <w:rPr>
          <w:sz w:val="24"/>
          <w:szCs w:val="24"/>
          <w:lang w:eastAsia="zh-CN"/>
        </w:rPr>
      </w:pPr>
      <w:r w:rsidRPr="00D03FB5">
        <w:rPr>
          <w:sz w:val="24"/>
          <w:szCs w:val="24"/>
          <w:lang w:eastAsia="zh-CN"/>
        </w:rPr>
        <w:t xml:space="preserve">Bergmann, B. R. (1974). </w:t>
      </w:r>
      <w:proofErr w:type="gramStart"/>
      <w:r w:rsidRPr="00D03FB5">
        <w:rPr>
          <w:sz w:val="24"/>
          <w:szCs w:val="24"/>
          <w:lang w:eastAsia="zh-CN"/>
        </w:rPr>
        <w:t>Occupational segregation, wages and profits when employers discriminate by race or sex.</w:t>
      </w:r>
      <w:proofErr w:type="gramEnd"/>
      <w:r w:rsidRPr="00D03FB5">
        <w:rPr>
          <w:sz w:val="24"/>
          <w:szCs w:val="24"/>
          <w:lang w:eastAsia="zh-CN"/>
        </w:rPr>
        <w:t xml:space="preserve"> </w:t>
      </w:r>
      <w:r w:rsidRPr="00D03FB5">
        <w:rPr>
          <w:i/>
          <w:sz w:val="24"/>
          <w:szCs w:val="24"/>
          <w:lang w:eastAsia="zh-CN"/>
        </w:rPr>
        <w:t>Eastern Economic Journal, 1</w:t>
      </w:r>
      <w:r w:rsidRPr="00D03FB5">
        <w:rPr>
          <w:sz w:val="24"/>
          <w:szCs w:val="24"/>
          <w:lang w:eastAsia="zh-CN"/>
        </w:rPr>
        <w:t>, 103-110.</w:t>
      </w:r>
    </w:p>
    <w:p w:rsidR="00DF459B" w:rsidRPr="00D03FB5" w:rsidRDefault="00DF459B" w:rsidP="00DF459B">
      <w:pPr>
        <w:adjustRightInd w:val="0"/>
        <w:spacing w:line="240" w:lineRule="auto"/>
        <w:ind w:left="720" w:hanging="720"/>
        <w:rPr>
          <w:sz w:val="24"/>
          <w:szCs w:val="24"/>
          <w:lang w:eastAsia="zh-CN"/>
        </w:rPr>
      </w:pPr>
    </w:p>
    <w:p w:rsidR="00DF459B" w:rsidRPr="00D03FB5" w:rsidRDefault="00DF459B" w:rsidP="00DF459B">
      <w:pPr>
        <w:adjustRightInd w:val="0"/>
        <w:spacing w:line="240" w:lineRule="auto"/>
        <w:ind w:left="720" w:hanging="720"/>
        <w:rPr>
          <w:sz w:val="24"/>
          <w:szCs w:val="24"/>
          <w:lang w:eastAsia="zh-CN"/>
        </w:rPr>
      </w:pPr>
      <w:proofErr w:type="gramStart"/>
      <w:r w:rsidRPr="00D03FB5">
        <w:rPr>
          <w:sz w:val="24"/>
          <w:szCs w:val="24"/>
          <w:lang w:eastAsia="zh-CN"/>
        </w:rPr>
        <w:t>Bowe, F. (1992).</w:t>
      </w:r>
      <w:proofErr w:type="gramEnd"/>
      <w:r w:rsidRPr="00D03FB5">
        <w:rPr>
          <w:sz w:val="24"/>
          <w:szCs w:val="24"/>
          <w:lang w:eastAsia="zh-CN"/>
        </w:rPr>
        <w:t xml:space="preserve">  </w:t>
      </w:r>
      <w:r w:rsidRPr="00D03FB5">
        <w:rPr>
          <w:i/>
          <w:iCs/>
          <w:sz w:val="24"/>
          <w:szCs w:val="24"/>
          <w:lang w:eastAsia="zh-CN"/>
        </w:rPr>
        <w:t xml:space="preserve">Adults with disabilities: A portrait. </w:t>
      </w:r>
      <w:r w:rsidRPr="00D03FB5">
        <w:rPr>
          <w:sz w:val="24"/>
          <w:szCs w:val="24"/>
          <w:lang w:eastAsia="zh-CN"/>
        </w:rPr>
        <w:t>Washington, DC: President’s Committee on Employment of People with Disabilities.</w:t>
      </w:r>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adjustRightInd w:val="0"/>
        <w:spacing w:line="240" w:lineRule="auto"/>
        <w:ind w:left="720" w:hanging="720"/>
        <w:rPr>
          <w:sz w:val="24"/>
          <w:szCs w:val="24"/>
        </w:rPr>
      </w:pPr>
      <w:proofErr w:type="gramStart"/>
      <w:r w:rsidRPr="00D03FB5">
        <w:rPr>
          <w:sz w:val="24"/>
          <w:szCs w:val="24"/>
        </w:rPr>
        <w:t>Bruyere, S. M., Erikson, W. A., &amp; VanLooy, S. A. (2006).</w:t>
      </w:r>
      <w:proofErr w:type="gramEnd"/>
      <w:r w:rsidRPr="00D03FB5">
        <w:rPr>
          <w:sz w:val="24"/>
          <w:szCs w:val="24"/>
        </w:rPr>
        <w:t xml:space="preserve"> </w:t>
      </w:r>
      <w:proofErr w:type="gramStart"/>
      <w:r w:rsidRPr="00D03FB5">
        <w:rPr>
          <w:sz w:val="24"/>
          <w:szCs w:val="24"/>
        </w:rPr>
        <w:t>The impact of business size on employer ADA response.</w:t>
      </w:r>
      <w:proofErr w:type="gramEnd"/>
      <w:r w:rsidRPr="00D03FB5">
        <w:rPr>
          <w:sz w:val="24"/>
          <w:szCs w:val="24"/>
        </w:rPr>
        <w:t xml:space="preserve"> </w:t>
      </w:r>
      <w:proofErr w:type="gramStart"/>
      <w:r w:rsidRPr="00D03FB5">
        <w:rPr>
          <w:i/>
          <w:sz w:val="24"/>
          <w:szCs w:val="24"/>
        </w:rPr>
        <w:t>Rehabilitation Counseling Bulletin, 49</w:t>
      </w:r>
      <w:r w:rsidRPr="00D03FB5">
        <w:rPr>
          <w:sz w:val="24"/>
          <w:szCs w:val="24"/>
        </w:rPr>
        <w:t>, 194-206.</w:t>
      </w:r>
      <w:proofErr w:type="gramEnd"/>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adjustRightInd w:val="0"/>
        <w:spacing w:line="240" w:lineRule="auto"/>
        <w:ind w:left="720" w:hanging="720"/>
        <w:rPr>
          <w:sz w:val="24"/>
          <w:szCs w:val="24"/>
          <w:lang w:eastAsia="zh-CN"/>
        </w:rPr>
      </w:pPr>
      <w:r w:rsidRPr="00D03FB5">
        <w:rPr>
          <w:sz w:val="24"/>
          <w:szCs w:val="24"/>
          <w:lang w:eastAsia="zh-CN"/>
        </w:rPr>
        <w:t>Budd, J. (2006). Labor relations: Striking a balance. Boston, MA: McGraw-Hill/Irwin.</w:t>
      </w:r>
    </w:p>
    <w:p w:rsidR="00DF459B" w:rsidRPr="00D03FB5" w:rsidRDefault="00DF459B" w:rsidP="00DF459B">
      <w:pPr>
        <w:adjustRightInd w:val="0"/>
        <w:spacing w:line="240" w:lineRule="auto"/>
        <w:rPr>
          <w:sz w:val="24"/>
          <w:szCs w:val="24"/>
        </w:rPr>
      </w:pPr>
    </w:p>
    <w:p w:rsidR="00DF459B" w:rsidRPr="00D03FB5" w:rsidRDefault="00DF459B" w:rsidP="00DF459B">
      <w:pPr>
        <w:adjustRightInd w:val="0"/>
        <w:spacing w:line="240" w:lineRule="auto"/>
        <w:ind w:left="720" w:hanging="720"/>
        <w:rPr>
          <w:sz w:val="24"/>
          <w:szCs w:val="24"/>
          <w:lang w:eastAsia="zh-CN"/>
        </w:rPr>
      </w:pPr>
      <w:r w:rsidRPr="00D03FB5">
        <w:rPr>
          <w:sz w:val="24"/>
          <w:szCs w:val="24"/>
          <w:lang w:eastAsia="zh-CN"/>
        </w:rPr>
        <w:t xml:space="preserve">Burke, R. (1999).  Disability and female’s work experiences: An exploratory study. </w:t>
      </w:r>
      <w:r w:rsidRPr="00D03FB5">
        <w:rPr>
          <w:i/>
          <w:iCs/>
          <w:sz w:val="24"/>
          <w:szCs w:val="24"/>
          <w:lang w:eastAsia="zh-CN"/>
        </w:rPr>
        <w:t>International Journal of Sociology &amp; Social Policy</w:t>
      </w:r>
      <w:r w:rsidRPr="00D03FB5">
        <w:rPr>
          <w:sz w:val="24"/>
          <w:szCs w:val="24"/>
          <w:lang w:eastAsia="zh-CN"/>
        </w:rPr>
        <w:t xml:space="preserve">, </w:t>
      </w:r>
      <w:r w:rsidRPr="00D03FB5">
        <w:rPr>
          <w:i/>
          <w:sz w:val="24"/>
          <w:szCs w:val="24"/>
          <w:lang w:eastAsia="zh-CN"/>
        </w:rPr>
        <w:t>19</w:t>
      </w:r>
      <w:r w:rsidRPr="00D03FB5">
        <w:rPr>
          <w:sz w:val="24"/>
          <w:szCs w:val="24"/>
          <w:lang w:eastAsia="zh-CN"/>
        </w:rPr>
        <w:t>, 21–33.</w:t>
      </w:r>
    </w:p>
    <w:p w:rsidR="00DF459B" w:rsidRPr="00D03FB5" w:rsidRDefault="00DF459B" w:rsidP="00DF459B">
      <w:pPr>
        <w:adjustRightInd w:val="0"/>
        <w:spacing w:line="240" w:lineRule="auto"/>
        <w:ind w:left="720" w:hanging="720"/>
        <w:rPr>
          <w:sz w:val="24"/>
          <w:szCs w:val="24"/>
          <w:lang w:eastAsia="zh-CN"/>
        </w:rPr>
      </w:pPr>
    </w:p>
    <w:p w:rsidR="00DF459B" w:rsidRPr="00D03FB5" w:rsidRDefault="00DF459B" w:rsidP="00DF459B">
      <w:pPr>
        <w:adjustRightInd w:val="0"/>
        <w:spacing w:line="240" w:lineRule="auto"/>
        <w:ind w:left="720" w:hanging="720"/>
        <w:rPr>
          <w:sz w:val="24"/>
          <w:szCs w:val="24"/>
        </w:rPr>
      </w:pPr>
      <w:proofErr w:type="gramStart"/>
      <w:r w:rsidRPr="00D03FB5">
        <w:rPr>
          <w:sz w:val="24"/>
          <w:szCs w:val="24"/>
        </w:rPr>
        <w:t xml:space="preserve">Dainty, A., &amp; </w:t>
      </w:r>
      <w:r w:rsidRPr="00D03FB5">
        <w:rPr>
          <w:bCs/>
          <w:sz w:val="24"/>
          <w:szCs w:val="24"/>
        </w:rPr>
        <w:t>Lingard, H</w:t>
      </w:r>
      <w:r w:rsidRPr="00D03FB5">
        <w:rPr>
          <w:sz w:val="24"/>
          <w:szCs w:val="24"/>
        </w:rPr>
        <w:t>. (2006).</w:t>
      </w:r>
      <w:proofErr w:type="gramEnd"/>
      <w:r w:rsidRPr="00D03FB5">
        <w:rPr>
          <w:sz w:val="24"/>
          <w:szCs w:val="24"/>
        </w:rPr>
        <w:t xml:space="preserve"> </w:t>
      </w:r>
      <w:proofErr w:type="gramStart"/>
      <w:r w:rsidRPr="00D03FB5">
        <w:rPr>
          <w:sz w:val="24"/>
          <w:szCs w:val="24"/>
        </w:rPr>
        <w:t>Indirect discrimination in construction organizations and the impact on women’s careers.</w:t>
      </w:r>
      <w:proofErr w:type="gramEnd"/>
      <w:r w:rsidRPr="00D03FB5">
        <w:rPr>
          <w:sz w:val="24"/>
          <w:szCs w:val="24"/>
        </w:rPr>
        <w:t xml:space="preserve"> </w:t>
      </w:r>
      <w:r w:rsidRPr="00D03FB5">
        <w:rPr>
          <w:i/>
          <w:sz w:val="24"/>
          <w:szCs w:val="24"/>
        </w:rPr>
        <w:t>ASCE Journal of Management in Engineering, 22</w:t>
      </w:r>
      <w:r w:rsidRPr="00D03FB5">
        <w:rPr>
          <w:sz w:val="24"/>
          <w:szCs w:val="24"/>
        </w:rPr>
        <w:t xml:space="preserve">, 108-118. </w:t>
      </w:r>
    </w:p>
    <w:p w:rsidR="00DF459B" w:rsidRPr="00D03FB5" w:rsidRDefault="00DF459B" w:rsidP="00DF459B">
      <w:pPr>
        <w:adjustRightInd w:val="0"/>
        <w:spacing w:line="240" w:lineRule="auto"/>
        <w:ind w:left="720" w:hanging="720"/>
        <w:rPr>
          <w:sz w:val="24"/>
          <w:szCs w:val="24"/>
          <w:lang w:eastAsia="zh-CN"/>
        </w:rPr>
      </w:pPr>
    </w:p>
    <w:p w:rsidR="00DF459B" w:rsidRPr="00D03FB5" w:rsidRDefault="00DF459B" w:rsidP="00DF459B">
      <w:pPr>
        <w:adjustRightInd w:val="0"/>
        <w:spacing w:line="240" w:lineRule="auto"/>
        <w:ind w:left="720" w:hanging="720"/>
        <w:rPr>
          <w:sz w:val="24"/>
          <w:szCs w:val="24"/>
          <w:lang w:eastAsia="zh-CN"/>
        </w:rPr>
      </w:pPr>
      <w:proofErr w:type="gramStart"/>
      <w:r w:rsidRPr="00D03FB5">
        <w:rPr>
          <w:sz w:val="24"/>
          <w:szCs w:val="24"/>
          <w:lang w:eastAsia="zh-CN"/>
        </w:rPr>
        <w:t>DeLeire, T. (2000).</w:t>
      </w:r>
      <w:proofErr w:type="gramEnd"/>
      <w:r w:rsidRPr="00D03FB5">
        <w:rPr>
          <w:sz w:val="24"/>
          <w:szCs w:val="24"/>
          <w:lang w:eastAsia="zh-CN"/>
        </w:rPr>
        <w:t xml:space="preserve"> </w:t>
      </w:r>
      <w:proofErr w:type="gramStart"/>
      <w:r w:rsidRPr="00D03FB5">
        <w:rPr>
          <w:sz w:val="24"/>
          <w:szCs w:val="24"/>
          <w:lang w:eastAsia="zh-CN"/>
        </w:rPr>
        <w:t>The wage and employment effects of the Americans with Disabilities Act.</w:t>
      </w:r>
      <w:proofErr w:type="gramEnd"/>
      <w:r w:rsidRPr="00D03FB5">
        <w:rPr>
          <w:sz w:val="24"/>
          <w:szCs w:val="24"/>
          <w:lang w:eastAsia="zh-CN"/>
        </w:rPr>
        <w:t xml:space="preserve"> </w:t>
      </w:r>
      <w:r w:rsidRPr="00D03FB5">
        <w:rPr>
          <w:i/>
          <w:iCs/>
          <w:sz w:val="24"/>
          <w:szCs w:val="24"/>
          <w:lang w:eastAsia="zh-CN"/>
        </w:rPr>
        <w:t xml:space="preserve">Journal of Human Resources, </w:t>
      </w:r>
      <w:r w:rsidRPr="00D03FB5">
        <w:rPr>
          <w:i/>
          <w:sz w:val="24"/>
          <w:szCs w:val="24"/>
          <w:lang w:eastAsia="zh-CN"/>
        </w:rPr>
        <w:t>35</w:t>
      </w:r>
      <w:r w:rsidRPr="00D03FB5">
        <w:rPr>
          <w:sz w:val="24"/>
          <w:szCs w:val="24"/>
          <w:lang w:eastAsia="zh-CN"/>
        </w:rPr>
        <w:t>(4), 693–715.</w:t>
      </w:r>
    </w:p>
    <w:p w:rsidR="00DF459B" w:rsidRPr="00D03FB5" w:rsidRDefault="00DF459B" w:rsidP="00DF459B">
      <w:pPr>
        <w:adjustRightInd w:val="0"/>
        <w:spacing w:line="240" w:lineRule="auto"/>
        <w:ind w:left="720" w:hanging="720"/>
        <w:rPr>
          <w:sz w:val="24"/>
          <w:szCs w:val="24"/>
          <w:lang w:eastAsia="zh-CN"/>
        </w:rPr>
      </w:pPr>
    </w:p>
    <w:p w:rsidR="00DF459B" w:rsidRPr="00D03FB5" w:rsidRDefault="00DF459B" w:rsidP="00DF459B">
      <w:pPr>
        <w:spacing w:line="240" w:lineRule="auto"/>
        <w:ind w:left="720" w:hanging="720"/>
        <w:rPr>
          <w:sz w:val="24"/>
          <w:szCs w:val="24"/>
        </w:rPr>
      </w:pPr>
      <w:proofErr w:type="gramStart"/>
      <w:r w:rsidRPr="00D03FB5">
        <w:rPr>
          <w:rStyle w:val="Strong"/>
          <w:b w:val="0"/>
          <w:sz w:val="24"/>
          <w:szCs w:val="24"/>
        </w:rPr>
        <w:t>Emmett, T. &amp; Alant, E.</w:t>
      </w:r>
      <w:r w:rsidRPr="00D03FB5">
        <w:rPr>
          <w:sz w:val="24"/>
          <w:szCs w:val="24"/>
        </w:rPr>
        <w:t xml:space="preserve"> (2006).</w:t>
      </w:r>
      <w:proofErr w:type="gramEnd"/>
      <w:r w:rsidRPr="00D03FB5">
        <w:rPr>
          <w:sz w:val="24"/>
          <w:szCs w:val="24"/>
        </w:rPr>
        <w:t xml:space="preserve"> Women and disability: Exploring the interface of multiple </w:t>
      </w:r>
      <w:proofErr w:type="gramStart"/>
      <w:r w:rsidRPr="00D03FB5">
        <w:rPr>
          <w:sz w:val="24"/>
          <w:szCs w:val="24"/>
        </w:rPr>
        <w:t>disadvantage</w:t>
      </w:r>
      <w:proofErr w:type="gramEnd"/>
      <w:r w:rsidRPr="00D03FB5">
        <w:rPr>
          <w:sz w:val="24"/>
          <w:szCs w:val="24"/>
        </w:rPr>
        <w:t xml:space="preserve">. </w:t>
      </w:r>
      <w:r w:rsidRPr="00D03FB5">
        <w:rPr>
          <w:rStyle w:val="Emphasis"/>
          <w:sz w:val="24"/>
          <w:szCs w:val="24"/>
        </w:rPr>
        <w:t>Development Southern Africa</w:t>
      </w:r>
      <w:r w:rsidRPr="00D03FB5">
        <w:rPr>
          <w:rStyle w:val="Emphasis"/>
          <w:i w:val="0"/>
          <w:sz w:val="24"/>
          <w:szCs w:val="24"/>
        </w:rPr>
        <w:t>,</w:t>
      </w:r>
      <w:r w:rsidRPr="00D03FB5">
        <w:rPr>
          <w:i/>
          <w:sz w:val="24"/>
          <w:szCs w:val="24"/>
        </w:rPr>
        <w:t xml:space="preserve"> 23</w:t>
      </w:r>
      <w:r w:rsidRPr="00D03FB5">
        <w:rPr>
          <w:sz w:val="24"/>
          <w:szCs w:val="24"/>
        </w:rPr>
        <w:t>(4), 445-460.</w:t>
      </w:r>
    </w:p>
    <w:p w:rsidR="00DF459B" w:rsidRPr="00D03FB5" w:rsidRDefault="00DF459B" w:rsidP="00DF459B">
      <w:pPr>
        <w:spacing w:line="240" w:lineRule="auto"/>
        <w:ind w:left="720" w:hanging="720"/>
        <w:rPr>
          <w:sz w:val="24"/>
          <w:szCs w:val="24"/>
          <w:lang w:eastAsia="zh-CN"/>
        </w:rPr>
      </w:pPr>
    </w:p>
    <w:p w:rsidR="00DF459B" w:rsidRPr="00D03FB5" w:rsidRDefault="00DF459B" w:rsidP="00DF459B">
      <w:pPr>
        <w:spacing w:line="240" w:lineRule="auto"/>
        <w:ind w:left="720" w:hanging="720"/>
        <w:rPr>
          <w:sz w:val="24"/>
          <w:szCs w:val="24"/>
        </w:rPr>
      </w:pPr>
      <w:proofErr w:type="gramStart"/>
      <w:r w:rsidRPr="00D03FB5">
        <w:rPr>
          <w:sz w:val="24"/>
          <w:szCs w:val="24"/>
        </w:rPr>
        <w:t>Erickson, W., Lee, C., von Schrader, S. (2010, March 17).</w:t>
      </w:r>
      <w:proofErr w:type="gramEnd"/>
      <w:r w:rsidRPr="00D03FB5">
        <w:rPr>
          <w:sz w:val="24"/>
          <w:szCs w:val="24"/>
        </w:rPr>
        <w:t xml:space="preserve"> </w:t>
      </w:r>
      <w:proofErr w:type="gramStart"/>
      <w:r w:rsidRPr="00D03FB5">
        <w:rPr>
          <w:i/>
          <w:sz w:val="24"/>
          <w:szCs w:val="24"/>
        </w:rPr>
        <w:t>Disability Statistics from the 2008 American Community Survey (ACS).</w:t>
      </w:r>
      <w:proofErr w:type="gramEnd"/>
      <w:r w:rsidRPr="00D03FB5">
        <w:rPr>
          <w:i/>
          <w:sz w:val="24"/>
          <w:szCs w:val="24"/>
        </w:rPr>
        <w:t xml:space="preserve"> </w:t>
      </w:r>
      <w:proofErr w:type="gramStart"/>
      <w:r w:rsidRPr="00D03FB5">
        <w:rPr>
          <w:sz w:val="24"/>
          <w:szCs w:val="24"/>
        </w:rPr>
        <w:t xml:space="preserve">Retrieved from Cornell University Rehabilitation Research and Training Center on Disability Demographics and Statistics (StatsRRTC) </w:t>
      </w:r>
      <w:hyperlink r:id="rId6" w:history="1">
        <w:r w:rsidRPr="00D03FB5">
          <w:rPr>
            <w:sz w:val="24"/>
            <w:szCs w:val="24"/>
            <w:u w:val="single" w:color="002C5C"/>
          </w:rPr>
          <w:t>www.disabilitystatistics.org</w:t>
        </w:r>
      </w:hyperlink>
      <w:r w:rsidRPr="00D03FB5">
        <w:rPr>
          <w:sz w:val="24"/>
          <w:szCs w:val="24"/>
        </w:rPr>
        <w:t>.</w:t>
      </w:r>
      <w:proofErr w:type="gramEnd"/>
      <w:r w:rsidRPr="00D03FB5">
        <w:rPr>
          <w:sz w:val="24"/>
          <w:szCs w:val="24"/>
        </w:rPr>
        <w:t xml:space="preserve">  Paper in pdf format: http://www.ilr.cornell.edu/edi/disabilitystatistics/StatusReports/2008-PDF/2008-StatusReport_US.pdf?CFID=22077280&amp;CFTOKEN=89892745&amp;jsessionid=f0302842222a9881c3a43412785954b2c135</w:t>
      </w:r>
    </w:p>
    <w:p w:rsidR="00DF459B" w:rsidRPr="00D03FB5" w:rsidRDefault="00DF459B" w:rsidP="00DF459B">
      <w:pPr>
        <w:spacing w:line="240" w:lineRule="auto"/>
        <w:ind w:left="720" w:hanging="720"/>
        <w:rPr>
          <w:sz w:val="24"/>
          <w:szCs w:val="24"/>
          <w:lang w:eastAsia="zh-CN"/>
        </w:rPr>
      </w:pPr>
    </w:p>
    <w:p w:rsidR="00DF459B" w:rsidRPr="00D03FB5" w:rsidRDefault="00DF459B" w:rsidP="00DF459B">
      <w:pPr>
        <w:spacing w:line="240" w:lineRule="auto"/>
        <w:ind w:left="720" w:hanging="720"/>
        <w:rPr>
          <w:sz w:val="24"/>
          <w:szCs w:val="24"/>
          <w:lang w:eastAsia="zh-CN"/>
        </w:rPr>
      </w:pPr>
      <w:r w:rsidRPr="00D03FB5">
        <w:rPr>
          <w:sz w:val="24"/>
          <w:szCs w:val="24"/>
          <w:lang w:eastAsia="zh-CN"/>
        </w:rPr>
        <w:t xml:space="preserve">Hale, T., Howard, H., &amp; McNeil, J. (1998).  </w:t>
      </w:r>
      <w:r w:rsidRPr="00D03FB5">
        <w:rPr>
          <w:sz w:val="24"/>
          <w:szCs w:val="24"/>
        </w:rPr>
        <w:t xml:space="preserve">Persons with disabilities:  Labor market activity, 1994. </w:t>
      </w:r>
      <w:proofErr w:type="gramStart"/>
      <w:r w:rsidRPr="00D03FB5">
        <w:rPr>
          <w:i/>
          <w:iCs/>
          <w:sz w:val="24"/>
          <w:szCs w:val="24"/>
          <w:lang w:eastAsia="zh-CN"/>
        </w:rPr>
        <w:t>Monthly Labor Review</w:t>
      </w:r>
      <w:r w:rsidRPr="00D03FB5">
        <w:rPr>
          <w:sz w:val="24"/>
          <w:szCs w:val="24"/>
          <w:lang w:eastAsia="zh-CN"/>
        </w:rPr>
        <w:t xml:space="preserve">, </w:t>
      </w:r>
      <w:r w:rsidRPr="00D03FB5">
        <w:rPr>
          <w:i/>
          <w:sz w:val="24"/>
          <w:szCs w:val="24"/>
          <w:lang w:eastAsia="zh-CN"/>
        </w:rPr>
        <w:t>121</w:t>
      </w:r>
      <w:r w:rsidRPr="00D03FB5">
        <w:rPr>
          <w:sz w:val="24"/>
          <w:szCs w:val="24"/>
          <w:lang w:eastAsia="zh-CN"/>
        </w:rPr>
        <w:t>(9).</w:t>
      </w:r>
      <w:proofErr w:type="gramEnd"/>
      <w:r w:rsidRPr="00D03FB5">
        <w:rPr>
          <w:sz w:val="24"/>
          <w:szCs w:val="24"/>
          <w:lang w:eastAsia="zh-CN"/>
        </w:rPr>
        <w:t xml:space="preserve">  </w:t>
      </w:r>
      <w:proofErr w:type="gramStart"/>
      <w:r w:rsidRPr="00D03FB5">
        <w:rPr>
          <w:sz w:val="24"/>
          <w:szCs w:val="24"/>
        </w:rPr>
        <w:t>Retrieved from</w:t>
      </w:r>
      <w:r w:rsidRPr="00D03FB5">
        <w:rPr>
          <w:sz w:val="24"/>
          <w:szCs w:val="24"/>
          <w:lang w:eastAsia="zh-CN"/>
        </w:rPr>
        <w:t xml:space="preserve"> </w:t>
      </w:r>
      <w:r w:rsidRPr="00D03FB5">
        <w:rPr>
          <w:sz w:val="24"/>
          <w:szCs w:val="24"/>
          <w:u w:color="000000"/>
          <w:lang w:eastAsia="zh-CN"/>
        </w:rPr>
        <w:t>http://www.bls.gov/opub/mlr/1998/09/art1full.pdf</w:t>
      </w:r>
      <w:r w:rsidRPr="00D03FB5">
        <w:rPr>
          <w:sz w:val="24"/>
          <w:szCs w:val="24"/>
          <w:lang w:eastAsia="zh-CN"/>
        </w:rPr>
        <w:t>.</w:t>
      </w:r>
      <w:proofErr w:type="gramEnd"/>
    </w:p>
    <w:p w:rsidR="00DF459B" w:rsidRPr="00D03FB5" w:rsidRDefault="00DF459B" w:rsidP="00DF459B">
      <w:pPr>
        <w:spacing w:line="240" w:lineRule="auto"/>
        <w:ind w:left="720" w:hanging="720"/>
        <w:rPr>
          <w:sz w:val="24"/>
          <w:szCs w:val="24"/>
          <w:lang w:eastAsia="zh-CN"/>
        </w:rPr>
      </w:pPr>
    </w:p>
    <w:p w:rsidR="00DF459B" w:rsidRPr="00D03FB5" w:rsidRDefault="00DF459B" w:rsidP="00DF459B">
      <w:pPr>
        <w:spacing w:line="240" w:lineRule="auto"/>
        <w:ind w:left="720" w:hanging="720"/>
        <w:rPr>
          <w:sz w:val="24"/>
          <w:szCs w:val="24"/>
        </w:rPr>
      </w:pPr>
      <w:r w:rsidRPr="00D03FB5">
        <w:rPr>
          <w:sz w:val="24"/>
          <w:szCs w:val="24"/>
        </w:rPr>
        <w:t xml:space="preserve">Hill, J., Hill, M., Wehman, P., Banks, P., Pendleton, P., &amp; Britt, C. (1985). Demographic analysis related to successful job retention for competitively employed persons who are mentally retarded. In P. Wehman &amp; J. W. Hill (Eds.), </w:t>
      </w:r>
      <w:r w:rsidRPr="00D03FB5">
        <w:rPr>
          <w:bCs/>
          <w:i/>
          <w:iCs/>
          <w:sz w:val="24"/>
          <w:szCs w:val="24"/>
        </w:rPr>
        <w:t>Competitive employment for persons with mental retardation: From research to practice (Vol. 1).</w:t>
      </w:r>
      <w:r w:rsidRPr="00D03FB5">
        <w:rPr>
          <w:sz w:val="24"/>
          <w:szCs w:val="24"/>
        </w:rPr>
        <w:t xml:space="preserve"> Richmond, VA: Rehabilitation Research and Training Center, Virginia Commonwealth University.</w:t>
      </w:r>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adjustRightInd w:val="0"/>
        <w:spacing w:line="240" w:lineRule="auto"/>
        <w:ind w:left="720" w:hanging="720"/>
        <w:rPr>
          <w:sz w:val="24"/>
          <w:szCs w:val="24"/>
        </w:rPr>
      </w:pPr>
      <w:r w:rsidRPr="00D03FB5">
        <w:rPr>
          <w:sz w:val="24"/>
          <w:szCs w:val="24"/>
        </w:rPr>
        <w:t xml:space="preserve">Hirsh, E., &amp; Kornrich, S. (2008).  </w:t>
      </w:r>
      <w:r w:rsidRPr="00D03FB5">
        <w:rPr>
          <w:bCs/>
          <w:sz w:val="24"/>
          <w:szCs w:val="24"/>
        </w:rPr>
        <w:t xml:space="preserve">The context of discrimination: Workplace conditions, institutional environments, and sex and race discrimination charges.  </w:t>
      </w:r>
      <w:r w:rsidRPr="00D03FB5">
        <w:rPr>
          <w:bCs/>
          <w:i/>
          <w:sz w:val="24"/>
          <w:szCs w:val="24"/>
        </w:rPr>
        <w:t>American Journal of Sociology, 113</w:t>
      </w:r>
      <w:r w:rsidRPr="00D03FB5">
        <w:rPr>
          <w:bCs/>
          <w:sz w:val="24"/>
          <w:szCs w:val="24"/>
        </w:rPr>
        <w:t>(5), 1394-1432.</w:t>
      </w:r>
    </w:p>
    <w:p w:rsidR="00DF459B" w:rsidRPr="00D03FB5" w:rsidRDefault="00DF459B" w:rsidP="00DF459B">
      <w:pPr>
        <w:adjustRightInd w:val="0"/>
        <w:spacing w:line="240" w:lineRule="auto"/>
        <w:ind w:left="720" w:hanging="720"/>
        <w:rPr>
          <w:sz w:val="24"/>
          <w:szCs w:val="24"/>
          <w:lang w:eastAsia="zh-CN"/>
        </w:rPr>
      </w:pPr>
    </w:p>
    <w:p w:rsidR="00DF459B" w:rsidRPr="00D03FB5" w:rsidRDefault="00DF459B" w:rsidP="00DF459B">
      <w:pPr>
        <w:adjustRightInd w:val="0"/>
        <w:spacing w:line="240" w:lineRule="auto"/>
        <w:ind w:firstLine="0"/>
        <w:rPr>
          <w:i/>
          <w:iCs/>
          <w:sz w:val="24"/>
          <w:szCs w:val="24"/>
          <w:lang w:eastAsia="zh-CN"/>
        </w:rPr>
      </w:pPr>
      <w:r w:rsidRPr="00D03FB5">
        <w:rPr>
          <w:sz w:val="24"/>
          <w:szCs w:val="24"/>
          <w:lang w:eastAsia="zh-CN"/>
        </w:rPr>
        <w:t xml:space="preserve">Jans, L. &amp; Stoddard, S. (1999).  </w:t>
      </w:r>
      <w:r w:rsidRPr="00D03FB5">
        <w:rPr>
          <w:i/>
          <w:iCs/>
          <w:sz w:val="24"/>
          <w:szCs w:val="24"/>
          <w:lang w:eastAsia="zh-CN"/>
        </w:rPr>
        <w:t xml:space="preserve">Chartbook on females and disability in the United States </w:t>
      </w:r>
    </w:p>
    <w:p w:rsidR="00DF459B" w:rsidRPr="00D03FB5" w:rsidRDefault="00DF459B" w:rsidP="00DF459B">
      <w:pPr>
        <w:adjustRightInd w:val="0"/>
        <w:spacing w:line="240" w:lineRule="auto"/>
        <w:rPr>
          <w:sz w:val="24"/>
          <w:szCs w:val="24"/>
          <w:lang w:eastAsia="zh-CN"/>
        </w:rPr>
      </w:pPr>
      <w:proofErr w:type="gramStart"/>
      <w:r w:rsidRPr="00D03FB5">
        <w:rPr>
          <w:sz w:val="24"/>
          <w:szCs w:val="24"/>
          <w:lang w:eastAsia="zh-CN"/>
        </w:rPr>
        <w:t>[Report].</w:t>
      </w:r>
      <w:proofErr w:type="gramEnd"/>
      <w:r w:rsidRPr="00D03FB5">
        <w:rPr>
          <w:sz w:val="24"/>
          <w:szCs w:val="24"/>
          <w:lang w:eastAsia="zh-CN"/>
        </w:rPr>
        <w:t xml:space="preserve">  Washington, DC:  U.S. Department of Education, National </w:t>
      </w:r>
    </w:p>
    <w:p w:rsidR="00DF459B" w:rsidRPr="00D03FB5" w:rsidRDefault="00DF459B" w:rsidP="00DF459B">
      <w:pPr>
        <w:adjustRightInd w:val="0"/>
        <w:spacing w:line="240" w:lineRule="auto"/>
        <w:rPr>
          <w:sz w:val="24"/>
          <w:szCs w:val="24"/>
          <w:lang w:eastAsia="zh-CN"/>
        </w:rPr>
      </w:pPr>
      <w:r w:rsidRPr="00D03FB5">
        <w:rPr>
          <w:sz w:val="24"/>
          <w:szCs w:val="24"/>
          <w:lang w:eastAsia="zh-CN"/>
        </w:rPr>
        <w:t xml:space="preserve">Institute on Disability and Rehabilitation Research. </w:t>
      </w:r>
    </w:p>
    <w:p w:rsidR="00DF459B" w:rsidRPr="00D03FB5" w:rsidRDefault="00DF459B" w:rsidP="00DF459B">
      <w:pPr>
        <w:adjustRightInd w:val="0"/>
        <w:spacing w:line="240" w:lineRule="auto"/>
        <w:ind w:left="720" w:hanging="720"/>
        <w:rPr>
          <w:sz w:val="24"/>
          <w:szCs w:val="24"/>
          <w:lang w:eastAsia="zh-CN"/>
        </w:rPr>
      </w:pPr>
    </w:p>
    <w:p w:rsidR="00DF459B" w:rsidRPr="00D03FB5" w:rsidRDefault="00DF459B" w:rsidP="00DF459B">
      <w:pPr>
        <w:adjustRightInd w:val="0"/>
        <w:spacing w:line="240" w:lineRule="auto"/>
        <w:ind w:left="720" w:hanging="720"/>
        <w:rPr>
          <w:sz w:val="24"/>
          <w:szCs w:val="24"/>
          <w:lang w:eastAsia="zh-CN"/>
        </w:rPr>
      </w:pPr>
      <w:r w:rsidRPr="00D03FB5">
        <w:rPr>
          <w:sz w:val="24"/>
          <w:szCs w:val="24"/>
          <w:lang w:eastAsia="zh-CN"/>
        </w:rPr>
        <w:t xml:space="preserve">Kaye, H. (2001).  </w:t>
      </w:r>
      <w:proofErr w:type="gramStart"/>
      <w:r w:rsidRPr="00D03FB5">
        <w:rPr>
          <w:i/>
          <w:iCs/>
          <w:sz w:val="24"/>
          <w:szCs w:val="24"/>
          <w:lang w:eastAsia="zh-CN"/>
        </w:rPr>
        <w:t>Disability Watch</w:t>
      </w:r>
      <w:r w:rsidRPr="00D03FB5">
        <w:rPr>
          <w:sz w:val="24"/>
          <w:szCs w:val="24"/>
          <w:lang w:eastAsia="zh-CN"/>
        </w:rPr>
        <w:t xml:space="preserve"> </w:t>
      </w:r>
      <w:r w:rsidRPr="00D03FB5">
        <w:rPr>
          <w:i/>
          <w:sz w:val="24"/>
          <w:szCs w:val="24"/>
          <w:lang w:eastAsia="zh-CN"/>
        </w:rPr>
        <w:t>vol.</w:t>
      </w:r>
      <w:r w:rsidRPr="00D03FB5">
        <w:rPr>
          <w:sz w:val="24"/>
          <w:szCs w:val="24"/>
          <w:lang w:eastAsia="zh-CN"/>
        </w:rPr>
        <w:t xml:space="preserve"> 2</w:t>
      </w:r>
      <w:r w:rsidRPr="00D03FB5">
        <w:rPr>
          <w:i/>
          <w:sz w:val="24"/>
          <w:szCs w:val="24"/>
          <w:lang w:eastAsia="zh-CN"/>
        </w:rPr>
        <w:t xml:space="preserve"> </w:t>
      </w:r>
      <w:r w:rsidRPr="00D03FB5">
        <w:rPr>
          <w:sz w:val="24"/>
          <w:szCs w:val="24"/>
          <w:lang w:eastAsia="zh-CN"/>
        </w:rPr>
        <w:t>[Report].</w:t>
      </w:r>
      <w:proofErr w:type="gramEnd"/>
      <w:r w:rsidRPr="00D03FB5">
        <w:rPr>
          <w:sz w:val="24"/>
          <w:szCs w:val="24"/>
          <w:lang w:eastAsia="zh-CN"/>
        </w:rPr>
        <w:t xml:space="preserve"> Oakland, CA:  Disability Rights Advocates.  Retrieved from </w:t>
      </w:r>
      <w:hyperlink r:id="rId7" w:history="1">
        <w:r w:rsidRPr="00D03FB5">
          <w:rPr>
            <w:rStyle w:val="Hyperlink"/>
            <w:color w:val="auto"/>
            <w:sz w:val="24"/>
            <w:szCs w:val="24"/>
            <w:lang w:eastAsia="zh-CN"/>
          </w:rPr>
          <w:t>http://www.dralegal.org/publications/disability_watch_v2.php</w:t>
        </w:r>
      </w:hyperlink>
    </w:p>
    <w:p w:rsidR="00DF459B" w:rsidRPr="00D03FB5" w:rsidRDefault="00DF459B" w:rsidP="00DF459B">
      <w:pPr>
        <w:adjustRightInd w:val="0"/>
        <w:spacing w:line="240" w:lineRule="auto"/>
        <w:ind w:left="720" w:hanging="720"/>
        <w:rPr>
          <w:sz w:val="24"/>
          <w:szCs w:val="24"/>
          <w:lang w:eastAsia="zh-CN"/>
        </w:rPr>
      </w:pPr>
    </w:p>
    <w:p w:rsidR="00DF459B" w:rsidRPr="00D03FB5" w:rsidRDefault="00DF459B" w:rsidP="00DF459B">
      <w:pPr>
        <w:adjustRightInd w:val="0"/>
        <w:spacing w:line="240" w:lineRule="auto"/>
        <w:ind w:left="720" w:hanging="720"/>
        <w:rPr>
          <w:sz w:val="24"/>
          <w:szCs w:val="24"/>
          <w:lang w:eastAsia="zh-CN"/>
        </w:rPr>
      </w:pPr>
      <w:proofErr w:type="gramStart"/>
      <w:r w:rsidRPr="00D03FB5">
        <w:rPr>
          <w:sz w:val="24"/>
          <w:szCs w:val="24"/>
          <w:lang w:eastAsia="zh-CN"/>
        </w:rPr>
        <w:t>Kessler Foundation &amp; National Organization on Disability (2010).</w:t>
      </w:r>
      <w:proofErr w:type="gramEnd"/>
      <w:r w:rsidRPr="00D03FB5">
        <w:rPr>
          <w:sz w:val="24"/>
          <w:szCs w:val="24"/>
          <w:lang w:eastAsia="zh-CN"/>
        </w:rPr>
        <w:t xml:space="preserve"> </w:t>
      </w:r>
      <w:r w:rsidRPr="00D03FB5">
        <w:rPr>
          <w:i/>
          <w:sz w:val="24"/>
          <w:szCs w:val="24"/>
          <w:lang w:eastAsia="zh-CN"/>
        </w:rPr>
        <w:t>The ADA, 20 years later: Kessler Foundation/National Organization on Disability.</w:t>
      </w:r>
      <w:r w:rsidRPr="00D03FB5">
        <w:rPr>
          <w:sz w:val="24"/>
          <w:szCs w:val="24"/>
          <w:lang w:eastAsia="zh-CN"/>
        </w:rPr>
        <w:t xml:space="preserve"> Retrieved from http:www.2010disabilitysurveys.orgpdfs/surveyresuts.pdf</w:t>
      </w:r>
    </w:p>
    <w:p w:rsidR="00DF459B" w:rsidRPr="00D03FB5" w:rsidRDefault="00DF459B" w:rsidP="00DF459B">
      <w:pPr>
        <w:adjustRightInd w:val="0"/>
        <w:spacing w:line="240" w:lineRule="auto"/>
        <w:rPr>
          <w:sz w:val="24"/>
          <w:szCs w:val="24"/>
        </w:rPr>
      </w:pPr>
    </w:p>
    <w:p w:rsidR="00DF459B" w:rsidRPr="00D03FB5" w:rsidRDefault="00DF459B" w:rsidP="00DF459B">
      <w:pPr>
        <w:spacing w:line="240" w:lineRule="auto"/>
        <w:ind w:left="720" w:hanging="720"/>
        <w:rPr>
          <w:sz w:val="24"/>
          <w:szCs w:val="24"/>
        </w:rPr>
      </w:pPr>
      <w:proofErr w:type="gramStart"/>
      <w:r w:rsidRPr="00D03FB5">
        <w:rPr>
          <w:sz w:val="24"/>
          <w:szCs w:val="24"/>
        </w:rPr>
        <w:t>Kregel, J. &amp; Wehman, P. (1989).</w:t>
      </w:r>
      <w:proofErr w:type="gramEnd"/>
      <w:r w:rsidRPr="00D03FB5">
        <w:rPr>
          <w:sz w:val="24"/>
          <w:szCs w:val="24"/>
        </w:rPr>
        <w:t xml:space="preserve"> </w:t>
      </w:r>
      <w:proofErr w:type="gramStart"/>
      <w:r w:rsidRPr="00D03FB5">
        <w:rPr>
          <w:sz w:val="24"/>
          <w:szCs w:val="24"/>
        </w:rPr>
        <w:t>An analysis of the employment outcomes of young adults with mental retardation.</w:t>
      </w:r>
      <w:proofErr w:type="gramEnd"/>
      <w:r w:rsidRPr="00D03FB5">
        <w:rPr>
          <w:sz w:val="24"/>
          <w:szCs w:val="24"/>
        </w:rPr>
        <w:t xml:space="preserve"> In P. Wehman &amp; J. Kregel (Eds.), </w:t>
      </w:r>
      <w:r w:rsidRPr="00D03FB5">
        <w:rPr>
          <w:bCs/>
          <w:i/>
          <w:iCs/>
          <w:sz w:val="24"/>
          <w:szCs w:val="24"/>
        </w:rPr>
        <w:t>Supported employment for persons with disabilities: Focus on excellence</w:t>
      </w:r>
      <w:r w:rsidRPr="00D03FB5">
        <w:rPr>
          <w:b/>
          <w:bCs/>
          <w:i/>
          <w:iCs/>
          <w:sz w:val="24"/>
          <w:szCs w:val="24"/>
        </w:rPr>
        <w:t>.</w:t>
      </w:r>
      <w:r w:rsidRPr="00D03FB5">
        <w:rPr>
          <w:sz w:val="24"/>
          <w:szCs w:val="24"/>
        </w:rPr>
        <w:t xml:space="preserve"> New York: Human Sciences Press.</w:t>
      </w:r>
    </w:p>
    <w:p w:rsidR="00DF459B" w:rsidRPr="00D03FB5" w:rsidRDefault="00DF459B" w:rsidP="00DF459B">
      <w:pPr>
        <w:adjustRightInd w:val="0"/>
        <w:spacing w:line="240" w:lineRule="auto"/>
        <w:ind w:left="720" w:hanging="720"/>
        <w:rPr>
          <w:sz w:val="24"/>
          <w:szCs w:val="24"/>
          <w:lang w:val="nb-NO" w:eastAsia="zh-CN"/>
        </w:rPr>
      </w:pPr>
    </w:p>
    <w:p w:rsidR="00DF459B" w:rsidRPr="00D03FB5" w:rsidRDefault="00DF459B" w:rsidP="00DF459B">
      <w:pPr>
        <w:adjustRightInd w:val="0"/>
        <w:spacing w:line="240" w:lineRule="auto"/>
        <w:ind w:left="720" w:hanging="720"/>
        <w:rPr>
          <w:sz w:val="24"/>
          <w:szCs w:val="24"/>
          <w:lang w:val="nb-NO" w:eastAsia="zh-CN"/>
        </w:rPr>
      </w:pPr>
      <w:r w:rsidRPr="00D03FB5">
        <w:rPr>
          <w:sz w:val="24"/>
          <w:szCs w:val="24"/>
          <w:lang w:val="nb-NO" w:eastAsia="zh-CN"/>
        </w:rPr>
        <w:t xml:space="preserve">Kutza, E. (1985).  </w:t>
      </w:r>
      <w:r w:rsidRPr="00D03FB5">
        <w:rPr>
          <w:i/>
          <w:sz w:val="24"/>
          <w:szCs w:val="24"/>
          <w:lang w:val="nb-NO" w:eastAsia="zh-CN"/>
        </w:rPr>
        <w:t>Benefits for the disabled:  How beneficial for females?</w:t>
      </w:r>
      <w:r w:rsidRPr="00D03FB5">
        <w:rPr>
          <w:sz w:val="24"/>
          <w:szCs w:val="24"/>
          <w:lang w:val="nb-NO" w:eastAsia="zh-CN"/>
        </w:rPr>
        <w:t xml:space="preserve">  In M. J. Deegan &amp; N. A. Brooks (Eds.), Females and disability:  The double handicap.  Brunswick, NJ: Transaction Books.</w:t>
      </w:r>
    </w:p>
    <w:p w:rsidR="00DF459B" w:rsidRPr="00D03FB5" w:rsidRDefault="00DF459B" w:rsidP="00DF459B">
      <w:pPr>
        <w:adjustRightInd w:val="0"/>
        <w:spacing w:line="240" w:lineRule="auto"/>
        <w:rPr>
          <w:sz w:val="24"/>
          <w:szCs w:val="24"/>
          <w:lang w:eastAsia="zh-CN"/>
        </w:rPr>
      </w:pPr>
    </w:p>
    <w:p w:rsidR="00DF459B" w:rsidRPr="00D03FB5" w:rsidRDefault="00DF459B" w:rsidP="00DF459B">
      <w:pPr>
        <w:spacing w:line="240" w:lineRule="auto"/>
        <w:ind w:left="720" w:hanging="720"/>
        <w:rPr>
          <w:sz w:val="24"/>
          <w:szCs w:val="24"/>
        </w:rPr>
      </w:pPr>
      <w:proofErr w:type="gramStart"/>
      <w:r w:rsidRPr="00D03FB5">
        <w:rPr>
          <w:sz w:val="24"/>
          <w:szCs w:val="24"/>
        </w:rPr>
        <w:t>Menz, F., Hansen, G., Smith, H., Brown, C., Ford, M., &amp; McCrowey, G. (1989).</w:t>
      </w:r>
      <w:proofErr w:type="gramEnd"/>
      <w:r w:rsidRPr="00D03FB5">
        <w:rPr>
          <w:sz w:val="24"/>
          <w:szCs w:val="24"/>
        </w:rPr>
        <w:t xml:space="preserve"> </w:t>
      </w:r>
      <w:proofErr w:type="gramStart"/>
      <w:r w:rsidRPr="00D03FB5">
        <w:rPr>
          <w:sz w:val="24"/>
          <w:szCs w:val="24"/>
        </w:rPr>
        <w:t>Gender equity in access, services, and benefits from vocational rehabilitation.</w:t>
      </w:r>
      <w:proofErr w:type="gramEnd"/>
      <w:r w:rsidRPr="00D03FB5">
        <w:rPr>
          <w:sz w:val="24"/>
          <w:szCs w:val="24"/>
        </w:rPr>
        <w:t xml:space="preserve"> </w:t>
      </w:r>
      <w:r w:rsidRPr="00D03FB5">
        <w:rPr>
          <w:i/>
          <w:iCs/>
          <w:sz w:val="24"/>
          <w:szCs w:val="24"/>
        </w:rPr>
        <w:t>The Journal of Rehabilitation</w:t>
      </w:r>
      <w:r w:rsidRPr="00D03FB5">
        <w:rPr>
          <w:sz w:val="24"/>
          <w:szCs w:val="24"/>
        </w:rPr>
        <w:t xml:space="preserve">, </w:t>
      </w:r>
      <w:r w:rsidRPr="00D03FB5">
        <w:rPr>
          <w:i/>
          <w:sz w:val="24"/>
          <w:szCs w:val="24"/>
        </w:rPr>
        <w:t>55</w:t>
      </w:r>
      <w:r w:rsidRPr="00D03FB5">
        <w:rPr>
          <w:sz w:val="24"/>
          <w:szCs w:val="24"/>
        </w:rPr>
        <w:t>(1), 31-41.</w:t>
      </w:r>
    </w:p>
    <w:p w:rsidR="00DF459B" w:rsidRPr="00D03FB5" w:rsidRDefault="00DF459B" w:rsidP="00DF459B">
      <w:pPr>
        <w:adjustRightInd w:val="0"/>
        <w:spacing w:line="240" w:lineRule="auto"/>
        <w:rPr>
          <w:sz w:val="24"/>
          <w:szCs w:val="24"/>
        </w:rPr>
      </w:pPr>
    </w:p>
    <w:p w:rsidR="00DF459B" w:rsidRPr="00D03FB5" w:rsidRDefault="00DF459B" w:rsidP="00DF459B">
      <w:pPr>
        <w:widowControl w:val="0"/>
        <w:autoSpaceDE w:val="0"/>
        <w:autoSpaceDN w:val="0"/>
        <w:adjustRightInd w:val="0"/>
        <w:spacing w:after="320" w:line="240" w:lineRule="auto"/>
        <w:ind w:left="720" w:hanging="720"/>
        <w:rPr>
          <w:sz w:val="24"/>
          <w:szCs w:val="24"/>
        </w:rPr>
      </w:pPr>
      <w:proofErr w:type="gramStart"/>
      <w:r w:rsidRPr="00D03FB5">
        <w:rPr>
          <w:sz w:val="24"/>
          <w:szCs w:val="24"/>
        </w:rPr>
        <w:t>Merz, M. A., Bricout, J. C., &amp; Koch, L. C. (2001).</w:t>
      </w:r>
      <w:proofErr w:type="gramEnd"/>
      <w:r w:rsidRPr="00D03FB5">
        <w:rPr>
          <w:sz w:val="24"/>
          <w:szCs w:val="24"/>
        </w:rPr>
        <w:t xml:space="preserve"> Disability and job stress: Implications for vocational rehabilitation planning. </w:t>
      </w:r>
      <w:r w:rsidRPr="00D03FB5">
        <w:rPr>
          <w:i/>
          <w:iCs/>
          <w:sz w:val="24"/>
          <w:szCs w:val="24"/>
        </w:rPr>
        <w:t>Work: A Journal of Prevention, Assessment, and Rehabilitation, 17</w:t>
      </w:r>
      <w:r w:rsidRPr="00D03FB5">
        <w:rPr>
          <w:sz w:val="24"/>
          <w:szCs w:val="24"/>
        </w:rPr>
        <w:t>, 85-95.</w:t>
      </w:r>
    </w:p>
    <w:p w:rsidR="00DF459B" w:rsidRPr="00D03FB5" w:rsidRDefault="00DF459B" w:rsidP="00DF459B">
      <w:pPr>
        <w:adjustRightInd w:val="0"/>
        <w:spacing w:line="240" w:lineRule="auto"/>
        <w:ind w:left="720" w:hanging="720"/>
        <w:rPr>
          <w:sz w:val="24"/>
          <w:szCs w:val="24"/>
        </w:rPr>
      </w:pPr>
      <w:r w:rsidRPr="00D03FB5">
        <w:rPr>
          <w:sz w:val="24"/>
          <w:szCs w:val="24"/>
        </w:rPr>
        <w:lastRenderedPageBreak/>
        <w:t xml:space="preserve">Mudrick, H. (1988).  Disabled women and public policies for income support.  In M. Fine and A. Asch (Eds.), </w:t>
      </w:r>
      <w:r w:rsidRPr="00D03FB5">
        <w:rPr>
          <w:i/>
          <w:sz w:val="24"/>
          <w:szCs w:val="24"/>
        </w:rPr>
        <w:t>Women with disabilities:  Essays in psychology, culture, and politics</w:t>
      </w:r>
      <w:r w:rsidRPr="00D03FB5">
        <w:rPr>
          <w:sz w:val="24"/>
          <w:szCs w:val="24"/>
        </w:rPr>
        <w:t xml:space="preserve"> (pp. 245-268). Philadelphia, PA:  Temple University Press.</w:t>
      </w:r>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spacing w:line="240" w:lineRule="auto"/>
        <w:ind w:left="720" w:hanging="720"/>
        <w:rPr>
          <w:sz w:val="24"/>
          <w:szCs w:val="24"/>
        </w:rPr>
      </w:pPr>
      <w:proofErr w:type="gramStart"/>
      <w:r w:rsidRPr="00D03FB5">
        <w:rPr>
          <w:sz w:val="24"/>
          <w:szCs w:val="24"/>
        </w:rPr>
        <w:t>Nosek, M., &amp; Hughes, R. (2003).</w:t>
      </w:r>
      <w:proofErr w:type="gramEnd"/>
      <w:r w:rsidRPr="00D03FB5">
        <w:rPr>
          <w:sz w:val="24"/>
          <w:szCs w:val="24"/>
        </w:rPr>
        <w:t xml:space="preserve"> Psychosocial issues of women with physical disabilities: The continuing gender debate. </w:t>
      </w:r>
      <w:proofErr w:type="gramStart"/>
      <w:r w:rsidRPr="00D03FB5">
        <w:rPr>
          <w:i/>
          <w:iCs/>
          <w:sz w:val="24"/>
          <w:szCs w:val="24"/>
        </w:rPr>
        <w:t>Rehabilitation Counseling Bulletin</w:t>
      </w:r>
      <w:r w:rsidRPr="00D03FB5">
        <w:rPr>
          <w:sz w:val="24"/>
          <w:szCs w:val="24"/>
        </w:rPr>
        <w:t xml:space="preserve">, </w:t>
      </w:r>
      <w:r w:rsidRPr="00D03FB5">
        <w:rPr>
          <w:i/>
          <w:sz w:val="24"/>
          <w:szCs w:val="24"/>
        </w:rPr>
        <w:t>46</w:t>
      </w:r>
      <w:r w:rsidRPr="00D03FB5">
        <w:rPr>
          <w:sz w:val="24"/>
          <w:szCs w:val="24"/>
        </w:rPr>
        <w:t>(4), 224-234.</w:t>
      </w:r>
      <w:proofErr w:type="gramEnd"/>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spacing w:line="240" w:lineRule="auto"/>
        <w:ind w:left="720" w:hanging="720"/>
        <w:rPr>
          <w:sz w:val="24"/>
          <w:szCs w:val="24"/>
        </w:rPr>
      </w:pPr>
      <w:r w:rsidRPr="00D03FB5">
        <w:rPr>
          <w:sz w:val="24"/>
          <w:szCs w:val="24"/>
        </w:rPr>
        <w:t xml:space="preserve">O’Hara, B. (2004).  </w:t>
      </w:r>
      <w:proofErr w:type="gramStart"/>
      <w:r w:rsidRPr="00D03FB5">
        <w:rPr>
          <w:sz w:val="24"/>
          <w:szCs w:val="24"/>
        </w:rPr>
        <w:t>Twice penalized:  Employment discrimination against women with disabilities.</w:t>
      </w:r>
      <w:proofErr w:type="gramEnd"/>
      <w:r w:rsidRPr="00D03FB5">
        <w:rPr>
          <w:sz w:val="24"/>
          <w:szCs w:val="24"/>
        </w:rPr>
        <w:t xml:space="preserve">  </w:t>
      </w:r>
      <w:r w:rsidRPr="00D03FB5">
        <w:rPr>
          <w:i/>
          <w:sz w:val="24"/>
          <w:szCs w:val="24"/>
        </w:rPr>
        <w:t>Journal of Disability Policy Studies, 15</w:t>
      </w:r>
      <w:r w:rsidRPr="00D03FB5">
        <w:rPr>
          <w:sz w:val="24"/>
          <w:szCs w:val="24"/>
        </w:rPr>
        <w:t>(1), 27-34.</w:t>
      </w:r>
    </w:p>
    <w:p w:rsidR="00DF459B" w:rsidRPr="00D03FB5" w:rsidRDefault="00DF459B" w:rsidP="00DF459B">
      <w:pPr>
        <w:spacing w:line="240" w:lineRule="auto"/>
        <w:ind w:left="720" w:hanging="720"/>
        <w:rPr>
          <w:sz w:val="24"/>
          <w:szCs w:val="24"/>
        </w:rPr>
      </w:pPr>
    </w:p>
    <w:p w:rsidR="00DF459B" w:rsidRPr="00D03FB5" w:rsidRDefault="00DF459B" w:rsidP="00DF459B">
      <w:pPr>
        <w:spacing w:line="240" w:lineRule="auto"/>
        <w:ind w:left="720" w:hanging="720"/>
        <w:rPr>
          <w:sz w:val="24"/>
          <w:szCs w:val="24"/>
          <w:lang w:eastAsia="zh-CN"/>
        </w:rPr>
      </w:pPr>
      <w:proofErr w:type="gramStart"/>
      <w:r w:rsidRPr="00D03FB5">
        <w:rPr>
          <w:sz w:val="24"/>
          <w:szCs w:val="24"/>
        </w:rPr>
        <w:t xml:space="preserve">Olson, D., Andrea, C., Yovanoff, P., </w:t>
      </w:r>
      <w:r w:rsidRPr="00D03FB5">
        <w:rPr>
          <w:sz w:val="24"/>
          <w:szCs w:val="24"/>
          <w:lang w:eastAsia="zh-CN"/>
        </w:rPr>
        <w:t>&amp; Mank, D. (2000).</w:t>
      </w:r>
      <w:proofErr w:type="gramEnd"/>
      <w:r w:rsidRPr="00D03FB5">
        <w:rPr>
          <w:sz w:val="24"/>
          <w:szCs w:val="24"/>
          <w:lang w:eastAsia="zh-CN"/>
        </w:rPr>
        <w:t xml:space="preserve">  </w:t>
      </w:r>
      <w:proofErr w:type="gramStart"/>
      <w:r w:rsidRPr="00D03FB5">
        <w:rPr>
          <w:sz w:val="24"/>
          <w:szCs w:val="24"/>
          <w:lang w:eastAsia="zh-CN"/>
        </w:rPr>
        <w:t>Gender differences in supported employment.</w:t>
      </w:r>
      <w:proofErr w:type="gramEnd"/>
      <w:r w:rsidRPr="00D03FB5">
        <w:rPr>
          <w:sz w:val="24"/>
          <w:szCs w:val="24"/>
          <w:lang w:eastAsia="zh-CN"/>
        </w:rPr>
        <w:t xml:space="preserve"> </w:t>
      </w:r>
      <w:r w:rsidRPr="00D03FB5">
        <w:rPr>
          <w:i/>
          <w:sz w:val="24"/>
          <w:szCs w:val="24"/>
          <w:lang w:eastAsia="zh-CN"/>
        </w:rPr>
        <w:t>Mental Retardation, 38</w:t>
      </w:r>
      <w:r w:rsidRPr="00D03FB5">
        <w:rPr>
          <w:sz w:val="24"/>
          <w:szCs w:val="24"/>
          <w:lang w:eastAsia="zh-CN"/>
        </w:rPr>
        <w:t>(2), 89-96.</w:t>
      </w:r>
    </w:p>
    <w:p w:rsidR="00DF459B" w:rsidRPr="00D03FB5" w:rsidRDefault="00DF459B" w:rsidP="00DF459B">
      <w:pPr>
        <w:spacing w:line="240" w:lineRule="auto"/>
        <w:rPr>
          <w:sz w:val="24"/>
          <w:szCs w:val="24"/>
        </w:rPr>
      </w:pPr>
    </w:p>
    <w:p w:rsidR="00DF459B" w:rsidRPr="00D03FB5" w:rsidRDefault="00DF459B" w:rsidP="00DF459B">
      <w:pPr>
        <w:spacing w:line="240" w:lineRule="auto"/>
        <w:ind w:left="720" w:hanging="720"/>
        <w:rPr>
          <w:sz w:val="24"/>
          <w:szCs w:val="24"/>
        </w:rPr>
      </w:pPr>
      <w:proofErr w:type="gramStart"/>
      <w:r w:rsidRPr="00D03FB5">
        <w:rPr>
          <w:sz w:val="24"/>
          <w:szCs w:val="24"/>
        </w:rPr>
        <w:t>Randolph, D., &amp; Andresen, E. (2004).</w:t>
      </w:r>
      <w:proofErr w:type="gramEnd"/>
      <w:r w:rsidRPr="00D03FB5">
        <w:rPr>
          <w:sz w:val="24"/>
          <w:szCs w:val="24"/>
        </w:rPr>
        <w:t xml:space="preserve">  Disability, gender, and unemployment relationships in the United States from the behavioral risk factor surveillance system. </w:t>
      </w:r>
      <w:r w:rsidRPr="00D03FB5">
        <w:rPr>
          <w:i/>
          <w:sz w:val="24"/>
          <w:szCs w:val="24"/>
        </w:rPr>
        <w:t>Disability and Society</w:t>
      </w:r>
      <w:r w:rsidRPr="00D03FB5">
        <w:rPr>
          <w:sz w:val="24"/>
          <w:szCs w:val="24"/>
        </w:rPr>
        <w:t xml:space="preserve">, </w:t>
      </w:r>
      <w:r w:rsidRPr="00D03FB5">
        <w:rPr>
          <w:i/>
          <w:sz w:val="24"/>
          <w:szCs w:val="24"/>
        </w:rPr>
        <w:t>19</w:t>
      </w:r>
      <w:r w:rsidRPr="00D03FB5">
        <w:rPr>
          <w:sz w:val="24"/>
          <w:szCs w:val="24"/>
        </w:rPr>
        <w:t>(4), 403-414.</w:t>
      </w:r>
    </w:p>
    <w:p w:rsidR="00DF459B" w:rsidRPr="00D03FB5" w:rsidRDefault="00DF459B" w:rsidP="00DF459B">
      <w:pPr>
        <w:spacing w:line="240" w:lineRule="auto"/>
        <w:ind w:left="720" w:hanging="720"/>
        <w:rPr>
          <w:sz w:val="24"/>
          <w:szCs w:val="24"/>
        </w:rPr>
      </w:pPr>
    </w:p>
    <w:p w:rsidR="00DF459B" w:rsidRPr="00D03FB5" w:rsidRDefault="00DF459B" w:rsidP="00DF459B">
      <w:pPr>
        <w:spacing w:line="240" w:lineRule="auto"/>
        <w:ind w:left="720" w:hanging="720"/>
        <w:rPr>
          <w:sz w:val="24"/>
          <w:szCs w:val="24"/>
        </w:rPr>
      </w:pPr>
      <w:r w:rsidRPr="00D03FB5">
        <w:rPr>
          <w:sz w:val="24"/>
          <w:szCs w:val="24"/>
        </w:rPr>
        <w:t xml:space="preserve">Reed, C. A. (1999). Women with disabilities making the transition back to work: Psychosocial barriers and interventions. </w:t>
      </w:r>
      <w:r w:rsidRPr="00D03FB5">
        <w:rPr>
          <w:i/>
          <w:sz w:val="24"/>
          <w:szCs w:val="24"/>
        </w:rPr>
        <w:t>Work, 13</w:t>
      </w:r>
      <w:r w:rsidRPr="00D03FB5">
        <w:rPr>
          <w:sz w:val="24"/>
          <w:szCs w:val="24"/>
        </w:rPr>
        <w:t>, 67-72.</w:t>
      </w:r>
    </w:p>
    <w:p w:rsidR="00DF459B" w:rsidRPr="00D03FB5" w:rsidRDefault="00DF459B" w:rsidP="00DF459B">
      <w:pPr>
        <w:spacing w:line="240" w:lineRule="auto"/>
        <w:ind w:left="720" w:hanging="720"/>
        <w:rPr>
          <w:sz w:val="24"/>
          <w:szCs w:val="24"/>
        </w:rPr>
      </w:pPr>
    </w:p>
    <w:p w:rsidR="00DF459B" w:rsidRPr="00D03FB5" w:rsidRDefault="00DF459B" w:rsidP="00DF459B">
      <w:pPr>
        <w:spacing w:line="240" w:lineRule="auto"/>
        <w:ind w:left="720" w:hanging="720"/>
        <w:rPr>
          <w:sz w:val="24"/>
          <w:szCs w:val="24"/>
        </w:rPr>
      </w:pPr>
      <w:proofErr w:type="gramStart"/>
      <w:r w:rsidRPr="00D03FB5">
        <w:rPr>
          <w:sz w:val="24"/>
          <w:szCs w:val="24"/>
        </w:rPr>
        <w:t>Rumrill, P. D., Roessler, R. T., McMahon, B. T., Hennessey, M. L., &amp; Neath, J. (2007).</w:t>
      </w:r>
      <w:proofErr w:type="gramEnd"/>
      <w:r w:rsidRPr="00D03FB5">
        <w:rPr>
          <w:sz w:val="24"/>
          <w:szCs w:val="24"/>
        </w:rPr>
        <w:t xml:space="preserve"> </w:t>
      </w:r>
      <w:proofErr w:type="gramStart"/>
      <w:r w:rsidRPr="00D03FB5">
        <w:rPr>
          <w:sz w:val="24"/>
          <w:szCs w:val="24"/>
        </w:rPr>
        <w:t>Gender as a differential indicator of the employment discrimination experiences of Americans with multiple sclerosis.</w:t>
      </w:r>
      <w:proofErr w:type="gramEnd"/>
      <w:r w:rsidRPr="00D03FB5">
        <w:rPr>
          <w:sz w:val="24"/>
          <w:szCs w:val="24"/>
        </w:rPr>
        <w:t xml:space="preserve"> </w:t>
      </w:r>
      <w:r w:rsidRPr="00D03FB5">
        <w:rPr>
          <w:i/>
          <w:sz w:val="24"/>
          <w:szCs w:val="24"/>
        </w:rPr>
        <w:t>Work, 29</w:t>
      </w:r>
      <w:r w:rsidRPr="00D03FB5">
        <w:rPr>
          <w:sz w:val="24"/>
          <w:szCs w:val="24"/>
        </w:rPr>
        <w:t>, 303-311.</w:t>
      </w:r>
    </w:p>
    <w:p w:rsidR="00DF459B" w:rsidRPr="00D03FB5" w:rsidRDefault="00DF459B" w:rsidP="00DF459B">
      <w:pPr>
        <w:spacing w:line="240" w:lineRule="auto"/>
        <w:ind w:left="720" w:hanging="720"/>
        <w:rPr>
          <w:sz w:val="24"/>
          <w:szCs w:val="24"/>
        </w:rPr>
      </w:pPr>
    </w:p>
    <w:p w:rsidR="00DF459B" w:rsidRPr="00D03FB5" w:rsidRDefault="00DF459B" w:rsidP="00DF459B">
      <w:pPr>
        <w:adjustRightInd w:val="0"/>
        <w:spacing w:line="240" w:lineRule="auto"/>
        <w:ind w:left="720" w:hanging="720"/>
        <w:rPr>
          <w:sz w:val="24"/>
          <w:szCs w:val="24"/>
          <w:lang w:eastAsia="zh-CN"/>
        </w:rPr>
      </w:pPr>
      <w:proofErr w:type="gramStart"/>
      <w:r w:rsidRPr="00D03FB5">
        <w:rPr>
          <w:sz w:val="24"/>
          <w:szCs w:val="24"/>
        </w:rPr>
        <w:t>Schmitt, J. &amp; Warner, K. (2010).</w:t>
      </w:r>
      <w:proofErr w:type="gramEnd"/>
      <w:r w:rsidRPr="00D03FB5">
        <w:rPr>
          <w:sz w:val="24"/>
          <w:szCs w:val="24"/>
        </w:rPr>
        <w:t xml:space="preserve"> The changing </w:t>
      </w:r>
      <w:proofErr w:type="gramStart"/>
      <w:r w:rsidRPr="00D03FB5">
        <w:rPr>
          <w:sz w:val="24"/>
          <w:szCs w:val="24"/>
        </w:rPr>
        <w:t>face</w:t>
      </w:r>
      <w:proofErr w:type="gramEnd"/>
      <w:r w:rsidRPr="00D03FB5">
        <w:rPr>
          <w:sz w:val="24"/>
          <w:szCs w:val="24"/>
        </w:rPr>
        <w:t xml:space="preserve"> of U.S. labor, 1983-2008. </w:t>
      </w:r>
      <w:r w:rsidRPr="00D03FB5">
        <w:rPr>
          <w:i/>
          <w:sz w:val="24"/>
          <w:szCs w:val="24"/>
        </w:rPr>
        <w:t>WorkingUSA: The Journal of Labor and Society, 13</w:t>
      </w:r>
      <w:r w:rsidRPr="00D03FB5">
        <w:rPr>
          <w:sz w:val="24"/>
          <w:szCs w:val="24"/>
        </w:rPr>
        <w:t>, 263-279.</w:t>
      </w:r>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adjustRightInd w:val="0"/>
        <w:spacing w:line="240" w:lineRule="auto"/>
        <w:ind w:left="720" w:hanging="720"/>
        <w:rPr>
          <w:sz w:val="24"/>
          <w:szCs w:val="24"/>
        </w:rPr>
      </w:pPr>
      <w:proofErr w:type="gramStart"/>
      <w:r w:rsidRPr="00D03FB5">
        <w:rPr>
          <w:sz w:val="24"/>
          <w:szCs w:val="24"/>
        </w:rPr>
        <w:t>Silva, E. (2003).</w:t>
      </w:r>
      <w:proofErr w:type="gramEnd"/>
      <w:r w:rsidRPr="00D03FB5">
        <w:rPr>
          <w:sz w:val="24"/>
          <w:szCs w:val="24"/>
        </w:rPr>
        <w:t xml:space="preserve"> Women at work: Changes and challenges. </w:t>
      </w:r>
      <w:r w:rsidRPr="00D03FB5">
        <w:rPr>
          <w:i/>
          <w:sz w:val="24"/>
          <w:szCs w:val="24"/>
        </w:rPr>
        <w:t>AAUW Outlook</w:t>
      </w:r>
      <w:r w:rsidRPr="00D03FB5">
        <w:rPr>
          <w:sz w:val="24"/>
          <w:szCs w:val="24"/>
        </w:rPr>
        <w:t xml:space="preserve">, </w:t>
      </w:r>
      <w:r w:rsidRPr="00D03FB5">
        <w:rPr>
          <w:i/>
          <w:sz w:val="24"/>
          <w:szCs w:val="24"/>
        </w:rPr>
        <w:t>Spring/Summer 2003</w:t>
      </w:r>
      <w:r w:rsidRPr="00D03FB5">
        <w:rPr>
          <w:sz w:val="24"/>
          <w:szCs w:val="24"/>
        </w:rPr>
        <w:t>, 18-22.</w:t>
      </w:r>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widowControl w:val="0"/>
        <w:autoSpaceDE w:val="0"/>
        <w:autoSpaceDN w:val="0"/>
        <w:adjustRightInd w:val="0"/>
        <w:spacing w:line="240" w:lineRule="auto"/>
        <w:ind w:left="720" w:hanging="720"/>
        <w:rPr>
          <w:sz w:val="24"/>
          <w:szCs w:val="24"/>
        </w:rPr>
      </w:pPr>
      <w:r w:rsidRPr="00D03FB5">
        <w:rPr>
          <w:sz w:val="24"/>
          <w:szCs w:val="24"/>
        </w:rPr>
        <w:t xml:space="preserve">Smart, J. (2008). Disability, society, and the individual (2nd </w:t>
      </w:r>
      <w:proofErr w:type="gramStart"/>
      <w:r w:rsidRPr="00D03FB5">
        <w:rPr>
          <w:sz w:val="24"/>
          <w:szCs w:val="24"/>
        </w:rPr>
        <w:t>ed</w:t>
      </w:r>
      <w:proofErr w:type="gramEnd"/>
      <w:r w:rsidRPr="00D03FB5">
        <w:rPr>
          <w:sz w:val="24"/>
          <w:szCs w:val="24"/>
        </w:rPr>
        <w:t>.). Austin, TX: Pro-Ed.</w:t>
      </w:r>
    </w:p>
    <w:p w:rsidR="00DF459B" w:rsidRPr="00D03FB5" w:rsidRDefault="00DF459B" w:rsidP="00DF459B">
      <w:pPr>
        <w:spacing w:line="240" w:lineRule="auto"/>
        <w:ind w:firstLine="0"/>
        <w:rPr>
          <w:sz w:val="24"/>
          <w:szCs w:val="24"/>
        </w:rPr>
      </w:pPr>
    </w:p>
    <w:p w:rsidR="00DF459B" w:rsidRPr="00D03FB5" w:rsidRDefault="00DF459B" w:rsidP="00DF459B">
      <w:pPr>
        <w:spacing w:line="240" w:lineRule="auto"/>
        <w:ind w:firstLine="0"/>
        <w:rPr>
          <w:sz w:val="24"/>
          <w:szCs w:val="24"/>
        </w:rPr>
      </w:pPr>
      <w:r w:rsidRPr="00D03FB5">
        <w:rPr>
          <w:sz w:val="24"/>
          <w:szCs w:val="24"/>
        </w:rPr>
        <w:t xml:space="preserve">Smith, D. (2007).  Employment status of women with disabilities from the Behavioral </w:t>
      </w:r>
    </w:p>
    <w:p w:rsidR="00DF459B" w:rsidRPr="00D03FB5" w:rsidRDefault="00DF459B" w:rsidP="00DF459B">
      <w:pPr>
        <w:spacing w:line="240" w:lineRule="auto"/>
        <w:rPr>
          <w:sz w:val="24"/>
          <w:szCs w:val="24"/>
        </w:rPr>
      </w:pPr>
      <w:r w:rsidRPr="00D03FB5">
        <w:rPr>
          <w:sz w:val="24"/>
          <w:szCs w:val="24"/>
        </w:rPr>
        <w:t xml:space="preserve">Risk Factor Surveillance Survey (1995-2002).  </w:t>
      </w:r>
      <w:r w:rsidRPr="00D03FB5">
        <w:rPr>
          <w:i/>
          <w:sz w:val="24"/>
          <w:szCs w:val="24"/>
        </w:rPr>
        <w:t>Work, 29</w:t>
      </w:r>
      <w:r w:rsidRPr="00D03FB5">
        <w:rPr>
          <w:sz w:val="24"/>
          <w:szCs w:val="24"/>
        </w:rPr>
        <w:t>(2), 127-135.</w:t>
      </w:r>
    </w:p>
    <w:p w:rsidR="00DF459B" w:rsidRPr="00D03FB5" w:rsidRDefault="00DF459B" w:rsidP="00DF459B">
      <w:pPr>
        <w:spacing w:line="240" w:lineRule="auto"/>
        <w:rPr>
          <w:sz w:val="24"/>
          <w:szCs w:val="24"/>
        </w:rPr>
      </w:pPr>
    </w:p>
    <w:p w:rsidR="00DF459B" w:rsidRPr="00D03FB5" w:rsidRDefault="00DF459B" w:rsidP="00DF459B">
      <w:pPr>
        <w:spacing w:line="240" w:lineRule="auto"/>
        <w:ind w:left="720" w:hanging="720"/>
        <w:rPr>
          <w:sz w:val="24"/>
          <w:szCs w:val="24"/>
        </w:rPr>
      </w:pPr>
      <w:proofErr w:type="gramStart"/>
      <w:r w:rsidRPr="00D03FB5">
        <w:rPr>
          <w:sz w:val="24"/>
          <w:szCs w:val="24"/>
        </w:rPr>
        <w:t>Tomaskovic-Devey, D., Stainback, K., Taylor, T., Zimmer, C., Robinson, C., McTague, T. (2006).</w:t>
      </w:r>
      <w:proofErr w:type="gramEnd"/>
      <w:r w:rsidRPr="00D03FB5">
        <w:rPr>
          <w:sz w:val="24"/>
          <w:szCs w:val="24"/>
        </w:rPr>
        <w:t xml:space="preserve"> </w:t>
      </w:r>
      <w:proofErr w:type="gramStart"/>
      <w:r w:rsidRPr="00D03FB5">
        <w:rPr>
          <w:sz w:val="24"/>
          <w:szCs w:val="24"/>
        </w:rPr>
        <w:t>Documenting desegregation: Segregation in American workplaces by race, ethnicity, and sex 1996-2003.</w:t>
      </w:r>
      <w:proofErr w:type="gramEnd"/>
      <w:r w:rsidRPr="00D03FB5">
        <w:rPr>
          <w:sz w:val="24"/>
          <w:szCs w:val="24"/>
        </w:rPr>
        <w:t xml:space="preserve"> </w:t>
      </w:r>
      <w:r w:rsidRPr="00D03FB5">
        <w:rPr>
          <w:i/>
          <w:sz w:val="24"/>
          <w:szCs w:val="24"/>
        </w:rPr>
        <w:t>American Sociological Review, 71</w:t>
      </w:r>
      <w:r w:rsidRPr="00D03FB5">
        <w:rPr>
          <w:sz w:val="24"/>
          <w:szCs w:val="24"/>
        </w:rPr>
        <w:t>(4), 565-588. </w:t>
      </w:r>
    </w:p>
    <w:p w:rsidR="00DF459B" w:rsidRPr="00D03FB5" w:rsidRDefault="00DF459B" w:rsidP="00DF459B">
      <w:pPr>
        <w:spacing w:line="240" w:lineRule="auto"/>
        <w:ind w:left="720" w:hanging="720"/>
        <w:rPr>
          <w:sz w:val="24"/>
          <w:szCs w:val="24"/>
        </w:rPr>
      </w:pPr>
    </w:p>
    <w:p w:rsidR="00DF459B" w:rsidRPr="00D03FB5" w:rsidRDefault="00DF459B" w:rsidP="00DF459B">
      <w:pPr>
        <w:spacing w:line="240" w:lineRule="auto"/>
        <w:ind w:left="720" w:hanging="720"/>
        <w:rPr>
          <w:sz w:val="24"/>
          <w:szCs w:val="24"/>
        </w:rPr>
      </w:pPr>
      <w:r w:rsidRPr="00D03FB5">
        <w:rPr>
          <w:sz w:val="24"/>
          <w:szCs w:val="24"/>
        </w:rPr>
        <w:t xml:space="preserve">Traustadottir, R. (1990). </w:t>
      </w:r>
      <w:proofErr w:type="gramStart"/>
      <w:r w:rsidRPr="00D03FB5">
        <w:rPr>
          <w:i/>
          <w:sz w:val="24"/>
          <w:szCs w:val="24"/>
        </w:rPr>
        <w:t>Employment, equality, and gender</w:t>
      </w:r>
      <w:r w:rsidRPr="00D03FB5">
        <w:rPr>
          <w:sz w:val="24"/>
          <w:szCs w:val="24"/>
        </w:rPr>
        <w:t>.</w:t>
      </w:r>
      <w:proofErr w:type="gramEnd"/>
      <w:r w:rsidRPr="00D03FB5">
        <w:rPr>
          <w:sz w:val="24"/>
          <w:szCs w:val="24"/>
        </w:rPr>
        <w:t xml:space="preserve"> </w:t>
      </w:r>
      <w:proofErr w:type="gramStart"/>
      <w:r w:rsidRPr="00D03FB5">
        <w:rPr>
          <w:sz w:val="24"/>
          <w:szCs w:val="24"/>
        </w:rPr>
        <w:t>Retrieved from the website of the Center on Human Policy, Syracuse University http://thechp.syr.edu/workgen.htm.</w:t>
      </w:r>
      <w:proofErr w:type="gramEnd"/>
    </w:p>
    <w:p w:rsidR="00DF459B" w:rsidRPr="00D03FB5" w:rsidRDefault="00DF459B" w:rsidP="00DF459B">
      <w:pPr>
        <w:spacing w:line="240" w:lineRule="auto"/>
        <w:ind w:firstLine="0"/>
        <w:rPr>
          <w:sz w:val="24"/>
          <w:szCs w:val="24"/>
        </w:rPr>
      </w:pPr>
    </w:p>
    <w:p w:rsidR="00DF459B" w:rsidRPr="00D03FB5" w:rsidRDefault="00DF459B" w:rsidP="00DF459B">
      <w:pPr>
        <w:adjustRightInd w:val="0"/>
        <w:spacing w:line="240" w:lineRule="auto"/>
        <w:ind w:left="720" w:hanging="720"/>
        <w:rPr>
          <w:sz w:val="24"/>
          <w:szCs w:val="24"/>
          <w:lang w:eastAsia="zh-CN"/>
        </w:rPr>
      </w:pPr>
      <w:proofErr w:type="gramStart"/>
      <w:r w:rsidRPr="00D03FB5">
        <w:rPr>
          <w:sz w:val="24"/>
          <w:szCs w:val="24"/>
          <w:lang w:eastAsia="zh-CN"/>
        </w:rPr>
        <w:t>U.S. Census Bureau (1994).</w:t>
      </w:r>
      <w:proofErr w:type="gramEnd"/>
      <w:r w:rsidRPr="00D03FB5">
        <w:rPr>
          <w:sz w:val="24"/>
          <w:szCs w:val="24"/>
          <w:lang w:eastAsia="zh-CN"/>
        </w:rPr>
        <w:t xml:space="preserve">  </w:t>
      </w:r>
      <w:proofErr w:type="gramStart"/>
      <w:r w:rsidRPr="00D03FB5">
        <w:rPr>
          <w:iCs/>
          <w:sz w:val="24"/>
          <w:szCs w:val="24"/>
          <w:lang w:eastAsia="zh-CN"/>
        </w:rPr>
        <w:t>Survey of income and program participation.</w:t>
      </w:r>
      <w:proofErr w:type="gramEnd"/>
      <w:r w:rsidRPr="00D03FB5">
        <w:rPr>
          <w:i/>
          <w:iCs/>
          <w:sz w:val="24"/>
          <w:szCs w:val="24"/>
          <w:lang w:eastAsia="zh-CN"/>
        </w:rPr>
        <w:t xml:space="preserve"> </w:t>
      </w:r>
      <w:r w:rsidRPr="00D03FB5">
        <w:rPr>
          <w:sz w:val="24"/>
          <w:szCs w:val="24"/>
        </w:rPr>
        <w:t xml:space="preserve">Retrieved from </w:t>
      </w:r>
      <w:r w:rsidRPr="00D03FB5">
        <w:rPr>
          <w:sz w:val="24"/>
          <w:szCs w:val="24"/>
          <w:lang w:eastAsia="zh-CN"/>
        </w:rPr>
        <w:t>http://www.census.gov/hhes/www/disability/sipp/disable9495.html</w:t>
      </w:r>
    </w:p>
    <w:p w:rsidR="00DF459B" w:rsidRPr="00D03FB5" w:rsidRDefault="00DF459B" w:rsidP="00DF459B">
      <w:pPr>
        <w:adjustRightInd w:val="0"/>
        <w:spacing w:line="240" w:lineRule="auto"/>
        <w:ind w:left="720" w:hanging="720"/>
        <w:rPr>
          <w:sz w:val="24"/>
          <w:szCs w:val="24"/>
          <w:lang w:eastAsia="zh-CN"/>
        </w:rPr>
      </w:pPr>
    </w:p>
    <w:p w:rsidR="00DF459B" w:rsidRPr="00D03FB5" w:rsidRDefault="00DF459B" w:rsidP="00DF459B">
      <w:pPr>
        <w:adjustRightInd w:val="0"/>
        <w:spacing w:line="240" w:lineRule="auto"/>
        <w:ind w:left="720" w:hanging="720"/>
        <w:rPr>
          <w:sz w:val="24"/>
          <w:szCs w:val="24"/>
          <w:lang w:eastAsia="zh-CN"/>
        </w:rPr>
      </w:pPr>
      <w:proofErr w:type="gramStart"/>
      <w:r w:rsidRPr="00D03FB5">
        <w:rPr>
          <w:sz w:val="24"/>
          <w:szCs w:val="24"/>
          <w:lang w:eastAsia="zh-CN"/>
        </w:rPr>
        <w:lastRenderedPageBreak/>
        <w:t>U.S. Census Bureau (2000).</w:t>
      </w:r>
      <w:proofErr w:type="gramEnd"/>
      <w:r w:rsidRPr="00D03FB5">
        <w:rPr>
          <w:sz w:val="24"/>
          <w:szCs w:val="24"/>
          <w:lang w:eastAsia="zh-CN"/>
        </w:rPr>
        <w:t xml:space="preserve"> </w:t>
      </w:r>
      <w:r w:rsidRPr="00D03FB5">
        <w:rPr>
          <w:i/>
          <w:sz w:val="24"/>
          <w:szCs w:val="24"/>
          <w:lang w:eastAsia="zh-CN"/>
        </w:rPr>
        <w:t>Profile of Selected Social Characteristics: 2000</w:t>
      </w:r>
      <w:r w:rsidRPr="00D03FB5">
        <w:rPr>
          <w:sz w:val="24"/>
          <w:szCs w:val="24"/>
          <w:lang w:eastAsia="zh-CN"/>
        </w:rPr>
        <w:t xml:space="preserve"> (Table DP-2</w:t>
      </w:r>
      <w:r w:rsidRPr="00D03FB5">
        <w:rPr>
          <w:iCs/>
          <w:sz w:val="24"/>
          <w:szCs w:val="24"/>
          <w:lang w:eastAsia="zh-CN"/>
        </w:rPr>
        <w:t xml:space="preserve">). </w:t>
      </w:r>
      <w:r w:rsidRPr="00D03FB5">
        <w:rPr>
          <w:sz w:val="24"/>
          <w:szCs w:val="24"/>
        </w:rPr>
        <w:t xml:space="preserve">Retrieved from </w:t>
      </w:r>
      <w:r w:rsidRPr="00D03FB5">
        <w:rPr>
          <w:sz w:val="24"/>
          <w:szCs w:val="24"/>
          <w:lang w:eastAsia="zh-CN"/>
        </w:rPr>
        <w:t>www.census.gov/Press-Release/www/2002/dptables/2k00.xls</w:t>
      </w:r>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adjustRightInd w:val="0"/>
        <w:spacing w:line="240" w:lineRule="auto"/>
        <w:ind w:left="720" w:hanging="720"/>
        <w:rPr>
          <w:sz w:val="24"/>
          <w:szCs w:val="24"/>
          <w:lang w:eastAsia="zh-CN"/>
        </w:rPr>
      </w:pPr>
      <w:proofErr w:type="gramStart"/>
      <w:r w:rsidRPr="00D03FB5">
        <w:rPr>
          <w:sz w:val="24"/>
          <w:szCs w:val="24"/>
          <w:lang w:eastAsia="zh-CN"/>
        </w:rPr>
        <w:t>U.S. Census Bureau (2001).</w:t>
      </w:r>
      <w:proofErr w:type="gramEnd"/>
      <w:r w:rsidRPr="00D03FB5">
        <w:rPr>
          <w:sz w:val="24"/>
          <w:szCs w:val="24"/>
          <w:lang w:eastAsia="zh-CN"/>
        </w:rPr>
        <w:t xml:space="preserve">  </w:t>
      </w:r>
      <w:proofErr w:type="gramStart"/>
      <w:r w:rsidRPr="00D03FB5">
        <w:rPr>
          <w:i/>
          <w:iCs/>
          <w:sz w:val="24"/>
          <w:szCs w:val="24"/>
          <w:lang w:eastAsia="zh-CN"/>
        </w:rPr>
        <w:t>Current population survey</w:t>
      </w:r>
      <w:r w:rsidRPr="00D03FB5">
        <w:rPr>
          <w:i/>
          <w:sz w:val="24"/>
          <w:szCs w:val="24"/>
          <w:lang w:eastAsia="zh-CN"/>
        </w:rPr>
        <w:t>.</w:t>
      </w:r>
      <w:proofErr w:type="gramEnd"/>
      <w:r w:rsidRPr="00D03FB5">
        <w:rPr>
          <w:sz w:val="24"/>
          <w:szCs w:val="24"/>
          <w:lang w:eastAsia="zh-CN"/>
        </w:rPr>
        <w:t xml:space="preserve">  </w:t>
      </w:r>
      <w:r w:rsidRPr="00D03FB5">
        <w:rPr>
          <w:sz w:val="24"/>
          <w:szCs w:val="24"/>
        </w:rPr>
        <w:t xml:space="preserve">Retrieved from: </w:t>
      </w:r>
      <w:hyperlink r:id="rId8" w:history="1">
        <w:r w:rsidRPr="00D03FB5">
          <w:rPr>
            <w:rStyle w:val="Hyperlink"/>
            <w:color w:val="auto"/>
            <w:sz w:val="24"/>
            <w:szCs w:val="24"/>
            <w:lang w:eastAsia="zh-CN"/>
          </w:rPr>
          <w:t>http://www.census.gov/hhes/www/income/income01.html</w:t>
        </w:r>
      </w:hyperlink>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adjustRightInd w:val="0"/>
        <w:spacing w:line="240" w:lineRule="auto"/>
        <w:ind w:left="720" w:hanging="720"/>
        <w:rPr>
          <w:sz w:val="24"/>
          <w:szCs w:val="24"/>
        </w:rPr>
      </w:pPr>
      <w:proofErr w:type="gramStart"/>
      <w:r w:rsidRPr="00D03FB5">
        <w:rPr>
          <w:sz w:val="24"/>
          <w:szCs w:val="24"/>
        </w:rPr>
        <w:t>U.S. Department of Health and Human Services (1993).</w:t>
      </w:r>
      <w:proofErr w:type="gramEnd"/>
      <w:r w:rsidRPr="00D03FB5">
        <w:rPr>
          <w:sz w:val="24"/>
          <w:szCs w:val="24"/>
        </w:rPr>
        <w:t xml:space="preserve"> </w:t>
      </w:r>
      <w:r w:rsidRPr="00D03FB5">
        <w:rPr>
          <w:i/>
          <w:sz w:val="24"/>
          <w:szCs w:val="24"/>
        </w:rPr>
        <w:t>Annual statistical supplement to the Social Security Bulletin, 1992</w:t>
      </w:r>
      <w:r w:rsidRPr="00D03FB5">
        <w:rPr>
          <w:sz w:val="24"/>
          <w:szCs w:val="24"/>
        </w:rPr>
        <w:t xml:space="preserve"> (SSA Publication No. 13-11700). Retrieved from </w:t>
      </w:r>
      <w:hyperlink r:id="rId9" w:tgtFrame="1" w:history="1">
        <w:r w:rsidRPr="00D03FB5">
          <w:rPr>
            <w:rStyle w:val="Hyperlink"/>
            <w:color w:val="auto"/>
            <w:sz w:val="24"/>
            <w:szCs w:val="24"/>
          </w:rPr>
          <w:t>www.archive.org/details/socialsecuritybu1992unse</w:t>
        </w:r>
      </w:hyperlink>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adjustRightInd w:val="0"/>
        <w:spacing w:line="240" w:lineRule="auto"/>
        <w:ind w:left="720" w:hanging="720"/>
        <w:rPr>
          <w:sz w:val="24"/>
          <w:szCs w:val="24"/>
        </w:rPr>
      </w:pPr>
      <w:proofErr w:type="gramStart"/>
      <w:r w:rsidRPr="00D03FB5">
        <w:rPr>
          <w:sz w:val="24"/>
          <w:szCs w:val="24"/>
        </w:rPr>
        <w:t>U.S. Department of Labor (1991).</w:t>
      </w:r>
      <w:proofErr w:type="gramEnd"/>
      <w:r w:rsidRPr="00D03FB5">
        <w:rPr>
          <w:sz w:val="24"/>
          <w:szCs w:val="24"/>
        </w:rPr>
        <w:t xml:space="preserve">  </w:t>
      </w:r>
      <w:proofErr w:type="gramStart"/>
      <w:r w:rsidRPr="00D03FB5">
        <w:rPr>
          <w:i/>
          <w:iCs/>
          <w:sz w:val="24"/>
          <w:szCs w:val="24"/>
        </w:rPr>
        <w:t>A report on the glass ceiling initiative.</w:t>
      </w:r>
      <w:proofErr w:type="gramEnd"/>
      <w:r w:rsidRPr="00D03FB5">
        <w:rPr>
          <w:i/>
          <w:iCs/>
          <w:sz w:val="24"/>
          <w:szCs w:val="24"/>
        </w:rPr>
        <w:t xml:space="preserve"> </w:t>
      </w:r>
      <w:r w:rsidRPr="00D03FB5">
        <w:rPr>
          <w:sz w:val="24"/>
          <w:szCs w:val="24"/>
        </w:rPr>
        <w:t xml:space="preserve">Washington, DC. Retrieved from </w:t>
      </w:r>
      <w:hyperlink r:id="rId10" w:tgtFrame="1" w:history="1">
        <w:r w:rsidRPr="00D03FB5">
          <w:rPr>
            <w:rStyle w:val="Hyperlink"/>
            <w:color w:val="auto"/>
            <w:sz w:val="24"/>
            <w:szCs w:val="24"/>
          </w:rPr>
          <w:t>http://www.eric.ed.gov/PDFS/ED340653.pdf</w:t>
        </w:r>
      </w:hyperlink>
    </w:p>
    <w:p w:rsidR="00DF459B" w:rsidRPr="00D03FB5" w:rsidRDefault="00DF459B" w:rsidP="00DF459B">
      <w:pPr>
        <w:adjustRightInd w:val="0"/>
        <w:spacing w:line="240" w:lineRule="auto"/>
        <w:ind w:left="720" w:hanging="720"/>
        <w:rPr>
          <w:sz w:val="24"/>
          <w:szCs w:val="24"/>
        </w:rPr>
      </w:pPr>
    </w:p>
    <w:p w:rsidR="00DF459B" w:rsidRPr="00D03FB5" w:rsidRDefault="00DF459B" w:rsidP="00DF459B">
      <w:pPr>
        <w:adjustRightInd w:val="0"/>
        <w:spacing w:line="240" w:lineRule="auto"/>
        <w:ind w:left="720" w:hanging="720"/>
        <w:rPr>
          <w:sz w:val="24"/>
          <w:szCs w:val="24"/>
        </w:rPr>
      </w:pPr>
      <w:proofErr w:type="gramStart"/>
      <w:r w:rsidRPr="00D03FB5">
        <w:rPr>
          <w:sz w:val="24"/>
          <w:szCs w:val="24"/>
        </w:rPr>
        <w:t>Women's Bureau (2008).</w:t>
      </w:r>
      <w:proofErr w:type="gramEnd"/>
      <w:r w:rsidRPr="00D03FB5">
        <w:rPr>
          <w:sz w:val="24"/>
          <w:szCs w:val="24"/>
        </w:rPr>
        <w:t xml:space="preserve"> </w:t>
      </w:r>
      <w:proofErr w:type="gramStart"/>
      <w:r w:rsidRPr="00D03FB5">
        <w:rPr>
          <w:i/>
          <w:sz w:val="24"/>
          <w:szCs w:val="24"/>
        </w:rPr>
        <w:t>Quick facts on nontraditional occupations for women in 2008</w:t>
      </w:r>
      <w:r w:rsidRPr="00D03FB5">
        <w:rPr>
          <w:sz w:val="24"/>
          <w:szCs w:val="24"/>
        </w:rPr>
        <w:t>.</w:t>
      </w:r>
      <w:proofErr w:type="gramEnd"/>
      <w:r w:rsidRPr="00D03FB5">
        <w:rPr>
          <w:sz w:val="24"/>
          <w:szCs w:val="24"/>
        </w:rPr>
        <w:t xml:space="preserve"> </w:t>
      </w:r>
      <w:proofErr w:type="gramStart"/>
      <w:r w:rsidRPr="00D03FB5">
        <w:rPr>
          <w:sz w:val="24"/>
          <w:szCs w:val="24"/>
        </w:rPr>
        <w:t>Retrieved from http://www.dol.gov/wb/factsheets/nontra2008.htm.</w:t>
      </w:r>
      <w:proofErr w:type="gramEnd"/>
    </w:p>
    <w:p w:rsidR="00DF459B" w:rsidRPr="00D03FB5" w:rsidRDefault="00DF459B" w:rsidP="00DF459B">
      <w:pPr>
        <w:spacing w:line="240" w:lineRule="auto"/>
        <w:ind w:left="720" w:hanging="720"/>
        <w:rPr>
          <w:sz w:val="24"/>
          <w:szCs w:val="24"/>
        </w:rPr>
      </w:pPr>
    </w:p>
    <w:p w:rsidR="00DF459B" w:rsidRPr="00D03FB5" w:rsidRDefault="00DF459B" w:rsidP="00DF459B">
      <w:pPr>
        <w:ind w:firstLine="0"/>
        <w:jc w:val="center"/>
        <w:rPr>
          <w:sz w:val="24"/>
          <w:szCs w:val="24"/>
        </w:rPr>
      </w:pPr>
      <w:r w:rsidRPr="00D03FB5">
        <w:rPr>
          <w:sz w:val="24"/>
          <w:szCs w:val="24"/>
        </w:rPr>
        <w:t>Endnote</w:t>
      </w:r>
    </w:p>
    <w:p w:rsidR="00DF459B" w:rsidRPr="00D03FB5" w:rsidRDefault="00DF459B" w:rsidP="00DF459B">
      <w:pPr>
        <w:spacing w:after="240" w:line="240" w:lineRule="auto"/>
        <w:ind w:firstLine="0"/>
        <w:rPr>
          <w:sz w:val="24"/>
          <w:szCs w:val="24"/>
        </w:rPr>
      </w:pPr>
      <w:r w:rsidRPr="00D03FB5">
        <w:rPr>
          <w:sz w:val="24"/>
          <w:szCs w:val="24"/>
          <w:vertAlign w:val="superscript"/>
        </w:rPr>
        <w:t>1</w:t>
      </w:r>
      <w:r w:rsidRPr="00D03FB5">
        <w:rPr>
          <w:sz w:val="24"/>
          <w:szCs w:val="24"/>
        </w:rPr>
        <w:t xml:space="preserve"> The EEOC is the agency responsible for enforcing Title I of the ADA, which prohibits employment discrimination against people with disabilities. The EEOC maintains the Integrated Mission System (IMS), which is used to track the filing, investigation, and resolution of all allegations of workplace discrimination under federal statutes. Through an Interagency Personnel Agreement between the EEOC and Virginia Commonwealth University, study researchers have access to a de-identified version of the database. More information can be found on the EEOC-ISM website, http://www.eeoc.gov/eeoc/foia/ims-pia.cfm</w:t>
      </w:r>
    </w:p>
    <w:p w:rsidR="00477C51" w:rsidRDefault="00DF459B"/>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B1FBB"/>
    <w:multiLevelType w:val="hybridMultilevel"/>
    <w:tmpl w:val="B5E0E6E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F459B"/>
    <w:rsid w:val="0057039B"/>
    <w:rsid w:val="006213E4"/>
    <w:rsid w:val="009C0AF0"/>
    <w:rsid w:val="00A34430"/>
    <w:rsid w:val="00A4593A"/>
    <w:rsid w:val="00AD1E94"/>
    <w:rsid w:val="00DF14AE"/>
    <w:rsid w:val="00DF459B"/>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59B"/>
    <w:pPr>
      <w:spacing w:after="0" w:line="480" w:lineRule="auto"/>
      <w:ind w:firstLine="720"/>
    </w:pPr>
    <w:rPr>
      <w:rFonts w:ascii="Times New Roman" w:hAnsi="Times New Roman" w:cs="Times New Roman"/>
      <w:sz w:val="20"/>
      <w:szCs w:val="20"/>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line="240" w:lineRule="auto"/>
    </w:pPr>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6213E4"/>
    <w:rPr>
      <w:b/>
      <w:bCs/>
    </w:rPr>
  </w:style>
  <w:style w:type="character" w:styleId="Emphasis">
    <w:name w:val="Emphasis"/>
    <w:basedOn w:val="DefaultParagraphFont"/>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DF459B"/>
    <w:rPr>
      <w:strike w:val="0"/>
      <w:dstrike w:val="0"/>
      <w:color w:val="0000CC"/>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hhes/www/income/income01.html" TargetMode="External"/><Relationship Id="rId3" Type="http://schemas.openxmlformats.org/officeDocument/2006/relationships/settings" Target="settings.xml"/><Relationship Id="rId7" Type="http://schemas.openxmlformats.org/officeDocument/2006/relationships/hyperlink" Target="http://www.dralegal.org/publications/disability_watch_v2.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sabilitystatistics.org/" TargetMode="External"/><Relationship Id="rId11" Type="http://schemas.openxmlformats.org/officeDocument/2006/relationships/fontTable" Target="fontTable.xml"/><Relationship Id="rId5" Type="http://schemas.openxmlformats.org/officeDocument/2006/relationships/hyperlink" Target="http://ideas.repec.org/p/nbr/nberwo/6670.html" TargetMode="External"/><Relationship Id="rId10" Type="http://schemas.openxmlformats.org/officeDocument/2006/relationships/hyperlink" Target="http://www.eric.ed.gov/PDFS/ED340653.pdf" TargetMode="External"/><Relationship Id="rId4" Type="http://schemas.openxmlformats.org/officeDocument/2006/relationships/webSettings" Target="webSettings.xml"/><Relationship Id="rId9" Type="http://schemas.openxmlformats.org/officeDocument/2006/relationships/hyperlink" Target="https://mail.hawaii.edu/uwc/webmail/www.archive.org/details/socialsecuritybu1992u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5804</Words>
  <Characters>33089</Characters>
  <Application>Microsoft Office Word</Application>
  <DocSecurity>0</DocSecurity>
  <Lines>275</Lines>
  <Paragraphs>77</Paragraphs>
  <ScaleCrop>false</ScaleCrop>
  <Company/>
  <LinksUpToDate>false</LinksUpToDate>
  <CharactersWithSpaces>38816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2014-10-30T01:14:00Z</dcterms:created>
  <dcterms:modified xsi:type="dcterms:W3CDTF">2014-10-30T01:14:00Z</dcterms:modified>
</cp:coreProperties>
</file>