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BE1" w:rsidRPr="0039490E" w:rsidRDefault="00303BE1" w:rsidP="00303BE1">
      <w:pPr>
        <w:jc w:val="center"/>
        <w:rPr>
          <w:color w:val="000000"/>
        </w:rPr>
      </w:pPr>
      <w:r w:rsidRPr="0039490E">
        <w:rPr>
          <w:color w:val="000000"/>
        </w:rPr>
        <w:t>Interdisciplinary Dialogues: Disability and Postcolonial Studies</w:t>
      </w:r>
    </w:p>
    <w:p w:rsidR="00303BE1" w:rsidRPr="000A6D30" w:rsidRDefault="00303BE1" w:rsidP="00303BE1">
      <w:pPr>
        <w:jc w:val="center"/>
        <w:rPr>
          <w:color w:val="000000"/>
        </w:rPr>
      </w:pPr>
      <w:r w:rsidRPr="000A6D30">
        <w:rPr>
          <w:color w:val="000000"/>
        </w:rPr>
        <w:t>Clare Barker, Ph.D.</w:t>
      </w:r>
    </w:p>
    <w:p w:rsidR="00303BE1" w:rsidRPr="000A6D30" w:rsidRDefault="00303BE1" w:rsidP="00303BE1">
      <w:pPr>
        <w:jc w:val="center"/>
        <w:rPr>
          <w:color w:val="000000"/>
        </w:rPr>
      </w:pPr>
      <w:r w:rsidRPr="000A6D30">
        <w:rPr>
          <w:color w:val="000000"/>
        </w:rPr>
        <w:t>University of Leeds</w:t>
      </w:r>
      <w:r>
        <w:rPr>
          <w:color w:val="000000"/>
        </w:rPr>
        <w:t>, UK</w:t>
      </w:r>
    </w:p>
    <w:p w:rsidR="00303BE1" w:rsidRPr="000A6D30" w:rsidRDefault="00303BE1" w:rsidP="00303BE1">
      <w:pPr>
        <w:rPr>
          <w:color w:val="000000"/>
        </w:rPr>
      </w:pPr>
    </w:p>
    <w:p w:rsidR="00303BE1" w:rsidRPr="000A6D30" w:rsidRDefault="00303BE1" w:rsidP="00303BE1">
      <w:pPr>
        <w:rPr>
          <w:color w:val="000000"/>
        </w:rPr>
      </w:pPr>
      <w:r w:rsidRPr="000A6D30">
        <w:rPr>
          <w:b/>
          <w:color w:val="000000"/>
        </w:rPr>
        <w:t xml:space="preserve">Abstract: </w:t>
      </w:r>
      <w:r w:rsidRPr="000A6D30">
        <w:rPr>
          <w:color w:val="000000"/>
        </w:rPr>
        <w:t>Disability is a constitutive material presence</w:t>
      </w:r>
      <w:r>
        <w:rPr>
          <w:color w:val="000000"/>
        </w:rPr>
        <w:t xml:space="preserve"> in many postcolonial societies but </w:t>
      </w:r>
      <w:r w:rsidRPr="000A6D30">
        <w:rPr>
          <w:color w:val="000000"/>
        </w:rPr>
        <w:t xml:space="preserve">remains surprisingly absent as a subject of analysis in the field of Postcolonial Studies. Through a critical reading of disability in </w:t>
      </w:r>
      <w:proofErr w:type="spellStart"/>
      <w:r w:rsidRPr="000A6D30">
        <w:rPr>
          <w:color w:val="000000"/>
        </w:rPr>
        <w:t>Salman</w:t>
      </w:r>
      <w:proofErr w:type="spellEnd"/>
      <w:r w:rsidRPr="000A6D30">
        <w:rPr>
          <w:color w:val="000000"/>
        </w:rPr>
        <w:t xml:space="preserve"> Rushdie’s novel </w:t>
      </w:r>
      <w:r w:rsidRPr="000A6D30">
        <w:rPr>
          <w:i/>
          <w:color w:val="000000"/>
        </w:rPr>
        <w:t xml:space="preserve">Midnight’s Children </w:t>
      </w:r>
      <w:r w:rsidRPr="000A6D30">
        <w:rPr>
          <w:color w:val="000000"/>
        </w:rPr>
        <w:t xml:space="preserve">(1981), this article develops an interdisciplinary critical methodology </w:t>
      </w:r>
      <w:r>
        <w:rPr>
          <w:color w:val="000000"/>
        </w:rPr>
        <w:t>that</w:t>
      </w:r>
      <w:r w:rsidRPr="000A6D30">
        <w:rPr>
          <w:color w:val="000000"/>
        </w:rPr>
        <w:t xml:space="preserve"> pays attention to disability both as an a</w:t>
      </w:r>
      <w:r>
        <w:rPr>
          <w:color w:val="000000"/>
        </w:rPr>
        <w:t>esthetic textual device and as</w:t>
      </w:r>
      <w:r w:rsidRPr="000A6D30">
        <w:rPr>
          <w:color w:val="000000"/>
        </w:rPr>
        <w:t xml:space="preserve"> lived experience.</w:t>
      </w:r>
    </w:p>
    <w:p w:rsidR="00303BE1" w:rsidRPr="0039490E" w:rsidRDefault="00303BE1" w:rsidP="00303BE1">
      <w:pPr>
        <w:rPr>
          <w:color w:val="000000"/>
        </w:rPr>
      </w:pPr>
    </w:p>
    <w:p w:rsidR="00303BE1" w:rsidRPr="0039490E" w:rsidRDefault="00303BE1" w:rsidP="00303BE1">
      <w:pPr>
        <w:pStyle w:val="Heading2"/>
        <w:spacing w:before="0"/>
        <w:rPr>
          <w:rFonts w:ascii="Times New Roman" w:hAnsi="Times New Roman" w:cs="Times New Roman"/>
          <w:b w:val="0"/>
          <w:i/>
          <w:color w:val="000000"/>
          <w:sz w:val="24"/>
          <w:szCs w:val="24"/>
        </w:rPr>
      </w:pPr>
      <w:r w:rsidRPr="0039490E">
        <w:rPr>
          <w:rFonts w:ascii="Times New Roman" w:hAnsi="Times New Roman" w:cs="Times New Roman"/>
          <w:color w:val="000000"/>
          <w:sz w:val="24"/>
          <w:szCs w:val="24"/>
        </w:rPr>
        <w:t>Key Words:</w:t>
      </w:r>
      <w:r w:rsidRPr="0039490E">
        <w:rPr>
          <w:rFonts w:ascii="Times New Roman" w:hAnsi="Times New Roman" w:cs="Times New Roman"/>
          <w:b w:val="0"/>
          <w:color w:val="000000"/>
          <w:sz w:val="24"/>
          <w:szCs w:val="24"/>
        </w:rPr>
        <w:t xml:space="preserve"> postcolonial literature, disability, Rushdie</w:t>
      </w:r>
    </w:p>
    <w:p w:rsidR="00303BE1" w:rsidRPr="0039490E" w:rsidRDefault="00303BE1" w:rsidP="00303BE1">
      <w:pPr>
        <w:rPr>
          <w:color w:val="000000"/>
        </w:rPr>
      </w:pPr>
    </w:p>
    <w:p w:rsidR="00303BE1" w:rsidRPr="000A6D30" w:rsidRDefault="00303BE1" w:rsidP="00303BE1">
      <w:pPr>
        <w:ind w:firstLine="720"/>
        <w:rPr>
          <w:color w:val="000000"/>
        </w:rPr>
      </w:pPr>
      <w:r w:rsidRPr="0039490E">
        <w:rPr>
          <w:color w:val="000000"/>
        </w:rPr>
        <w:t>A haunting visual legacy of the Iraq war was the multiplicity of media images of Ali</w:t>
      </w:r>
      <w:r w:rsidRPr="000A6D30">
        <w:rPr>
          <w:color w:val="000000"/>
        </w:rPr>
        <w:t xml:space="preserve"> </w:t>
      </w:r>
      <w:proofErr w:type="spellStart"/>
      <w:r w:rsidRPr="000A6D30">
        <w:rPr>
          <w:color w:val="000000"/>
        </w:rPr>
        <w:t>Abbas</w:t>
      </w:r>
      <w:proofErr w:type="spellEnd"/>
      <w:r w:rsidRPr="000A6D30">
        <w:rPr>
          <w:color w:val="000000"/>
        </w:rPr>
        <w:t>, a twelve-year-old Iraqi boy who lost both arms in a missile attack in March 2003. Covering the newspapers’ front pages for weeks, Ali became the poster child of the conflict – the representative of innocent victimhood, of loss in the most tangible sense, and of the horrific cost of British and American intervention in Iraq. Western responses to Ali’s disablement were generou</w:t>
      </w:r>
      <w:r>
        <w:rPr>
          <w:color w:val="000000"/>
        </w:rPr>
        <w:t>s and economically beneficial,</w:t>
      </w:r>
      <w:r w:rsidRPr="000A6D30">
        <w:rPr>
          <w:color w:val="000000"/>
        </w:rPr>
        <w:t xml:space="preserve"> yet politically troubling. The Limbless Association’s fund to rehabilitate amputee casualties of the war was strategically publicized as the Ali </w:t>
      </w:r>
      <w:proofErr w:type="spellStart"/>
      <w:r w:rsidRPr="000A6D30">
        <w:rPr>
          <w:color w:val="000000"/>
        </w:rPr>
        <w:t>Abbas</w:t>
      </w:r>
      <w:proofErr w:type="spellEnd"/>
      <w:r w:rsidRPr="000A6D30">
        <w:rPr>
          <w:color w:val="000000"/>
        </w:rPr>
        <w:t xml:space="preserve"> appeal, mobilizing what has been termed the “identifiable victim effect” (Sma</w:t>
      </w:r>
      <w:r>
        <w:rPr>
          <w:color w:val="000000"/>
        </w:rPr>
        <w:t xml:space="preserve">ll, </w:t>
      </w:r>
      <w:proofErr w:type="spellStart"/>
      <w:r>
        <w:rPr>
          <w:color w:val="000000"/>
        </w:rPr>
        <w:t>Loewenstein</w:t>
      </w:r>
      <w:proofErr w:type="spellEnd"/>
      <w:r>
        <w:rPr>
          <w:color w:val="000000"/>
        </w:rPr>
        <w:t xml:space="preserve">, &amp; </w:t>
      </w:r>
      <w:proofErr w:type="spellStart"/>
      <w:r>
        <w:rPr>
          <w:color w:val="000000"/>
        </w:rPr>
        <w:t>Slovic</w:t>
      </w:r>
      <w:proofErr w:type="spellEnd"/>
      <w:r>
        <w:rPr>
          <w:color w:val="000000"/>
        </w:rPr>
        <w:t>, 2007);</w:t>
      </w:r>
      <w:r w:rsidRPr="000A6D30">
        <w:rPr>
          <w:color w:val="000000"/>
        </w:rPr>
        <w:t xml:space="preserve"> maximum donation was elicited by personalizing and </w:t>
      </w:r>
      <w:proofErr w:type="spellStart"/>
      <w:r w:rsidRPr="000A6D30">
        <w:rPr>
          <w:color w:val="000000"/>
        </w:rPr>
        <w:t>narrativizing</w:t>
      </w:r>
      <w:proofErr w:type="spellEnd"/>
      <w:r>
        <w:rPr>
          <w:color w:val="000000"/>
        </w:rPr>
        <w:t xml:space="preserve"> the experience of trauma. </w:t>
      </w:r>
      <w:proofErr w:type="spellStart"/>
      <w:r>
        <w:rPr>
          <w:color w:val="000000"/>
        </w:rPr>
        <w:t>Lennard</w:t>
      </w:r>
      <w:proofErr w:type="spellEnd"/>
      <w:r>
        <w:rPr>
          <w:color w:val="000000"/>
        </w:rPr>
        <w:t xml:space="preserve"> Davis (1995) observes that “</w:t>
      </w:r>
      <w:proofErr w:type="spellStart"/>
      <w:r w:rsidRPr="000A6D30">
        <w:rPr>
          <w:color w:val="000000"/>
        </w:rPr>
        <w:t>narrativizing</w:t>
      </w:r>
      <w:proofErr w:type="spellEnd"/>
      <w:r w:rsidRPr="000A6D30">
        <w:rPr>
          <w:color w:val="000000"/>
        </w:rPr>
        <w:t xml:space="preserve"> an imp</w:t>
      </w:r>
      <w:r>
        <w:rPr>
          <w:color w:val="000000"/>
        </w:rPr>
        <w:t>airment</w:t>
      </w:r>
      <w:r w:rsidRPr="000A6D30">
        <w:rPr>
          <w:color w:val="000000"/>
        </w:rPr>
        <w:t xml:space="preserve"> </w:t>
      </w:r>
      <w:r>
        <w:rPr>
          <w:color w:val="000000"/>
        </w:rPr>
        <w:t xml:space="preserve">… </w:t>
      </w:r>
      <w:r w:rsidRPr="000A6D30">
        <w:rPr>
          <w:color w:val="000000"/>
        </w:rPr>
        <w:t>tends to sentimentalize it</w:t>
      </w:r>
      <w:r>
        <w:rPr>
          <w:color w:val="000000"/>
        </w:rPr>
        <w:t>” in ways that</w:t>
      </w:r>
      <w:r w:rsidRPr="000A6D30">
        <w:rPr>
          <w:color w:val="000000"/>
        </w:rPr>
        <w:t xml:space="preserve"> </w:t>
      </w:r>
      <w:r>
        <w:rPr>
          <w:color w:val="000000"/>
        </w:rPr>
        <w:t>“</w:t>
      </w:r>
      <w:r w:rsidRPr="000A6D30">
        <w:rPr>
          <w:color w:val="000000"/>
        </w:rPr>
        <w:t xml:space="preserve">link it to the bourgeois sensibility of individualism and the drama of an individual story” (pp. 3-4). The emergency fund capitalized effectively on a sentimental individual narrative of wounding and healing, securing the </w:t>
      </w:r>
      <w:r>
        <w:rPr>
          <w:color w:val="000000"/>
        </w:rPr>
        <w:t>support</w:t>
      </w:r>
      <w:r w:rsidRPr="000A6D30">
        <w:rPr>
          <w:color w:val="000000"/>
        </w:rPr>
        <w:t xml:space="preserve"> of middle-class “conspicuous co</w:t>
      </w:r>
      <w:r>
        <w:rPr>
          <w:color w:val="000000"/>
        </w:rPr>
        <w:t>ntributors” (</w:t>
      </w:r>
      <w:proofErr w:type="spellStart"/>
      <w:r>
        <w:rPr>
          <w:color w:val="000000"/>
        </w:rPr>
        <w:t>Longmore</w:t>
      </w:r>
      <w:proofErr w:type="spellEnd"/>
      <w:r>
        <w:rPr>
          <w:color w:val="000000"/>
        </w:rPr>
        <w:t>, 1997) in</w:t>
      </w:r>
      <w:r w:rsidRPr="000A6D30">
        <w:rPr>
          <w:color w:val="000000"/>
        </w:rPr>
        <w:t xml:space="preserve"> raising much-needed capital. It also, however, isolated Ali’s plight from its political contexts and obscured the </w:t>
      </w:r>
      <w:r w:rsidRPr="000A6D30">
        <w:rPr>
          <w:i/>
          <w:color w:val="000000"/>
        </w:rPr>
        <w:t>mass</w:t>
      </w:r>
      <w:r w:rsidRPr="000A6D30">
        <w:rPr>
          <w:color w:val="000000"/>
        </w:rPr>
        <w:t xml:space="preserve"> scale of disabilit</w:t>
      </w:r>
      <w:r>
        <w:rPr>
          <w:color w:val="000000"/>
        </w:rPr>
        <w:t xml:space="preserve">ies generated by the war. </w:t>
      </w:r>
      <w:r w:rsidRPr="00F54C5A">
        <w:rPr>
          <w:color w:val="000000"/>
        </w:rPr>
        <w:t xml:space="preserve">The appeal’s representational strategies encouraged donation rather than protest, ultimately failing to </w:t>
      </w:r>
      <w:r>
        <w:rPr>
          <w:color w:val="000000"/>
        </w:rPr>
        <w:t>stage</w:t>
      </w:r>
      <w:r w:rsidRPr="00F54C5A">
        <w:rPr>
          <w:color w:val="000000"/>
        </w:rPr>
        <w:t xml:space="preserve"> a critical engagement with the causes and atrocities of the war.</w:t>
      </w:r>
    </w:p>
    <w:p w:rsidR="00303BE1" w:rsidRPr="000A6D30" w:rsidRDefault="00303BE1" w:rsidP="00303BE1">
      <w:pPr>
        <w:rPr>
          <w:color w:val="000000"/>
        </w:rPr>
      </w:pPr>
    </w:p>
    <w:p w:rsidR="00303BE1" w:rsidRDefault="00303BE1" w:rsidP="00303BE1">
      <w:pPr>
        <w:ind w:firstLine="720"/>
        <w:rPr>
          <w:color w:val="000000"/>
        </w:rPr>
      </w:pPr>
      <w:r w:rsidRPr="000A6D30">
        <w:rPr>
          <w:color w:val="000000"/>
        </w:rPr>
        <w:t xml:space="preserve">Effective analysis of this complex cultural event requires input from various disciplinary fields. Disability studies provides the tools to examine the visual rhetoric of the poster child (Garland-Thomson, 2002; </w:t>
      </w:r>
      <w:proofErr w:type="spellStart"/>
      <w:r w:rsidRPr="000A6D30">
        <w:rPr>
          <w:color w:val="000000"/>
        </w:rPr>
        <w:t>McRuer</w:t>
      </w:r>
      <w:proofErr w:type="spellEnd"/>
      <w:r w:rsidRPr="000A6D30">
        <w:rPr>
          <w:color w:val="000000"/>
        </w:rPr>
        <w:t>, 2006), to consider the pros and cons of sentimentality (Davis, 1995), and to critique the association of disability with helplessness, victimhood, pity</w:t>
      </w:r>
      <w:r>
        <w:rPr>
          <w:color w:val="000000"/>
        </w:rPr>
        <w:t>,</w:t>
      </w:r>
      <w:r w:rsidRPr="000A6D30">
        <w:rPr>
          <w:color w:val="000000"/>
        </w:rPr>
        <w:t xml:space="preserve"> and charity (Snyder &amp; Mitchell, 2006). </w:t>
      </w:r>
      <w:r>
        <w:rPr>
          <w:color w:val="000000"/>
        </w:rPr>
        <w:t>Probing</w:t>
      </w:r>
      <w:r w:rsidRPr="00C31AD9">
        <w:rPr>
          <w:color w:val="000000"/>
        </w:rPr>
        <w:t xml:space="preserve"> th</w:t>
      </w:r>
      <w:r>
        <w:rPr>
          <w:color w:val="000000"/>
        </w:rPr>
        <w:t>e intersection between disability,</w:t>
      </w:r>
      <w:r w:rsidRPr="00C31AD9">
        <w:rPr>
          <w:color w:val="000000"/>
        </w:rPr>
        <w:t xml:space="preserve"> dependency</w:t>
      </w:r>
      <w:r>
        <w:rPr>
          <w:color w:val="000000"/>
        </w:rPr>
        <w:t>,</w:t>
      </w:r>
      <w:r w:rsidRPr="00C31AD9">
        <w:rPr>
          <w:color w:val="000000"/>
        </w:rPr>
        <w:t xml:space="preserve"> </w:t>
      </w:r>
      <w:r>
        <w:rPr>
          <w:color w:val="000000"/>
        </w:rPr>
        <w:t>and</w:t>
      </w:r>
      <w:r w:rsidRPr="00C31AD9">
        <w:rPr>
          <w:color w:val="000000"/>
        </w:rPr>
        <w:t xml:space="preserve"> </w:t>
      </w:r>
      <w:r w:rsidRPr="00C31AD9">
        <w:rPr>
          <w:i/>
          <w:color w:val="000000"/>
        </w:rPr>
        <w:t>international relations</w:t>
      </w:r>
      <w:r w:rsidRPr="000A6D30">
        <w:rPr>
          <w:color w:val="000000"/>
        </w:rPr>
        <w:t>, however, demands an engagement between disability studies and postcolonial studies, an interdisciplinary field adept at interrogating western constructions of non-western Others (Said, 1995). In the proliferation of media representations of disabling global trauma, disability is made the focal point of familiar narratives of disempowerment, which render non-westerners the perennial victims of either disordered, cri</w:t>
      </w:r>
      <w:r>
        <w:rPr>
          <w:color w:val="000000"/>
        </w:rPr>
        <w:t>sis-</w:t>
      </w:r>
      <w:proofErr w:type="spellStart"/>
      <w:r>
        <w:rPr>
          <w:color w:val="000000"/>
        </w:rPr>
        <w:t>riven</w:t>
      </w:r>
      <w:proofErr w:type="spellEnd"/>
      <w:r>
        <w:rPr>
          <w:color w:val="000000"/>
        </w:rPr>
        <w:t xml:space="preserve"> environments or of</w:t>
      </w:r>
      <w:r w:rsidRPr="000A6D30">
        <w:rPr>
          <w:color w:val="000000"/>
        </w:rPr>
        <w:t xml:space="preserve"> west</w:t>
      </w:r>
      <w:r>
        <w:rPr>
          <w:color w:val="000000"/>
        </w:rPr>
        <w:t>ern nation</w:t>
      </w:r>
      <w:r w:rsidRPr="000A6D30">
        <w:rPr>
          <w:color w:val="000000"/>
        </w:rPr>
        <w:t>s</w:t>
      </w:r>
      <w:r>
        <w:rPr>
          <w:color w:val="000000"/>
        </w:rPr>
        <w:t>’</w:t>
      </w:r>
      <w:r w:rsidRPr="000A6D30">
        <w:rPr>
          <w:color w:val="000000"/>
        </w:rPr>
        <w:t xml:space="preserve"> militaristic and (neo)imperialist activities. The imbalance between Iraqi dependency and western paternalism that is normalized by images of Ali </w:t>
      </w:r>
      <w:proofErr w:type="spellStart"/>
      <w:r w:rsidRPr="000A6D30">
        <w:rPr>
          <w:color w:val="000000"/>
        </w:rPr>
        <w:t>Abbas</w:t>
      </w:r>
      <w:proofErr w:type="spellEnd"/>
      <w:r w:rsidRPr="000A6D30">
        <w:rPr>
          <w:color w:val="000000"/>
        </w:rPr>
        <w:t xml:space="preserve"> issues from assumptions about disabled difference and </w:t>
      </w:r>
      <w:r w:rsidRPr="000A6D30">
        <w:rPr>
          <w:i/>
          <w:color w:val="000000"/>
        </w:rPr>
        <w:t>cultural</w:t>
      </w:r>
      <w:r w:rsidRPr="000A6D30">
        <w:rPr>
          <w:color w:val="000000"/>
        </w:rPr>
        <w:t xml:space="preserve"> difference, </w:t>
      </w:r>
      <w:proofErr w:type="spellStart"/>
      <w:r w:rsidRPr="000A6D30">
        <w:rPr>
          <w:color w:val="000000"/>
        </w:rPr>
        <w:t>cente</w:t>
      </w:r>
      <w:r>
        <w:rPr>
          <w:color w:val="000000"/>
        </w:rPr>
        <w:t>red</w:t>
      </w:r>
      <w:proofErr w:type="spellEnd"/>
      <w:r>
        <w:rPr>
          <w:color w:val="000000"/>
        </w:rPr>
        <w:t xml:space="preserve"> on a fundamental notion of “damage.”</w:t>
      </w:r>
      <w:r w:rsidRPr="000A6D30">
        <w:rPr>
          <w:color w:val="000000"/>
        </w:rPr>
        <w:t xml:space="preserve"> At the same time, disability representations participate in the </w:t>
      </w:r>
      <w:proofErr w:type="spellStart"/>
      <w:r w:rsidRPr="000A6D30">
        <w:rPr>
          <w:color w:val="000000"/>
        </w:rPr>
        <w:t>reinscription</w:t>
      </w:r>
      <w:proofErr w:type="spellEnd"/>
      <w:r w:rsidRPr="000A6D30">
        <w:rPr>
          <w:color w:val="000000"/>
        </w:rPr>
        <w:t xml:space="preserve"> of </w:t>
      </w:r>
      <w:proofErr w:type="spellStart"/>
      <w:r w:rsidRPr="00627F00">
        <w:rPr>
          <w:color w:val="000000"/>
        </w:rPr>
        <w:t>orientalist</w:t>
      </w:r>
      <w:proofErr w:type="spellEnd"/>
      <w:r w:rsidRPr="00627F00">
        <w:rPr>
          <w:color w:val="000000"/>
        </w:rPr>
        <w:t xml:space="preserve"> discourses</w:t>
      </w:r>
      <w:r w:rsidRPr="000A6D30">
        <w:rPr>
          <w:color w:val="000000"/>
        </w:rPr>
        <w:t xml:space="preserve"> of salvation and enlightenment which feed into contemporary global development paradigms: </w:t>
      </w:r>
      <w:r>
        <w:rPr>
          <w:color w:val="000000"/>
        </w:rPr>
        <w:t>Ali’s “</w:t>
      </w:r>
      <w:r w:rsidRPr="000A6D30">
        <w:rPr>
          <w:color w:val="000000"/>
        </w:rPr>
        <w:t>tragic</w:t>
      </w:r>
      <w:r>
        <w:rPr>
          <w:color w:val="000000"/>
        </w:rPr>
        <w:t>”</w:t>
      </w:r>
      <w:r w:rsidRPr="000A6D30">
        <w:rPr>
          <w:color w:val="000000"/>
        </w:rPr>
        <w:t xml:space="preserve"> story ends happily in the USA with a reconstructed body. </w:t>
      </w:r>
      <w:r w:rsidRPr="000A6D30">
        <w:rPr>
          <w:color w:val="000000"/>
        </w:rPr>
        <w:lastRenderedPageBreak/>
        <w:t>Contributing to discourses o</w:t>
      </w:r>
      <w:r>
        <w:rPr>
          <w:color w:val="000000"/>
        </w:rPr>
        <w:t>f dependency and development like this</w:t>
      </w:r>
      <w:r w:rsidRPr="000A6D30">
        <w:rPr>
          <w:color w:val="000000"/>
        </w:rPr>
        <w:t xml:space="preserve">, ideas about disability are frequently co-opted to support </w:t>
      </w:r>
      <w:proofErr w:type="spellStart"/>
      <w:r w:rsidRPr="000A6D30">
        <w:rPr>
          <w:color w:val="000000"/>
        </w:rPr>
        <w:t>neocolonial</w:t>
      </w:r>
      <w:proofErr w:type="spellEnd"/>
      <w:r w:rsidRPr="000A6D30">
        <w:rPr>
          <w:color w:val="000000"/>
        </w:rPr>
        <w:t xml:space="preserve"> political agendas. In this sense the links between </w:t>
      </w:r>
      <w:proofErr w:type="spellStart"/>
      <w:r w:rsidRPr="000A6D30">
        <w:rPr>
          <w:color w:val="000000"/>
        </w:rPr>
        <w:t>postcolonialism</w:t>
      </w:r>
      <w:proofErr w:type="spellEnd"/>
      <w:r w:rsidRPr="000A6D30">
        <w:rPr>
          <w:color w:val="000000"/>
        </w:rPr>
        <w:t xml:space="preserve"> and disability are direct, dynamic and constitutive in the contemporary world. As a critical discourse, </w:t>
      </w:r>
      <w:proofErr w:type="spellStart"/>
      <w:r w:rsidRPr="000A6D30">
        <w:rPr>
          <w:color w:val="000000"/>
        </w:rPr>
        <w:t>postcolonialism</w:t>
      </w:r>
      <w:proofErr w:type="spellEnd"/>
      <w:r w:rsidRPr="000A6D30">
        <w:rPr>
          <w:color w:val="000000"/>
        </w:rPr>
        <w:t xml:space="preserve"> can offer a crucial point of departure for the analysis of disability representations when they are manifested in, or projected onto, non-western cultural contexts.</w:t>
      </w:r>
    </w:p>
    <w:p w:rsidR="00303BE1" w:rsidRDefault="00303BE1" w:rsidP="00303BE1">
      <w:pPr>
        <w:ind w:firstLine="431"/>
        <w:rPr>
          <w:color w:val="000000"/>
        </w:rPr>
      </w:pPr>
    </w:p>
    <w:p w:rsidR="00303BE1" w:rsidRPr="00EF0767" w:rsidRDefault="00303BE1" w:rsidP="00303BE1">
      <w:pPr>
        <w:jc w:val="center"/>
        <w:rPr>
          <w:color w:val="000000"/>
        </w:rPr>
      </w:pPr>
      <w:r>
        <w:rPr>
          <w:color w:val="000000"/>
        </w:rPr>
        <w:t>Decolonizing Disability Studies: Literature, Criticism, and Theory</w:t>
      </w:r>
    </w:p>
    <w:p w:rsidR="00303BE1" w:rsidRPr="000A6D30" w:rsidRDefault="00303BE1" w:rsidP="00303BE1">
      <w:pPr>
        <w:rPr>
          <w:color w:val="000000"/>
        </w:rPr>
      </w:pPr>
    </w:p>
    <w:p w:rsidR="00303BE1" w:rsidRPr="000A6D30" w:rsidRDefault="00303BE1" w:rsidP="00303BE1">
      <w:pPr>
        <w:ind w:firstLine="720"/>
        <w:rPr>
          <w:color w:val="000000"/>
        </w:rPr>
      </w:pPr>
      <w:r w:rsidRPr="000A6D30">
        <w:rPr>
          <w:color w:val="000000"/>
        </w:rPr>
        <w:t xml:space="preserve">The (much contested) term </w:t>
      </w:r>
      <w:r w:rsidRPr="000A6D30">
        <w:rPr>
          <w:i/>
          <w:color w:val="000000"/>
        </w:rPr>
        <w:t xml:space="preserve">postcolonial </w:t>
      </w:r>
      <w:r w:rsidRPr="000A6D30">
        <w:rPr>
          <w:color w:val="000000"/>
        </w:rPr>
        <w:t>encompasses the historical, socioeconomic, and cultural legacies of European colonialism in previously colo</w:t>
      </w:r>
      <w:r>
        <w:rPr>
          <w:color w:val="000000"/>
        </w:rPr>
        <w:t>nized nations and cultures, engaging</w:t>
      </w:r>
      <w:r w:rsidRPr="000A6D30">
        <w:rPr>
          <w:color w:val="000000"/>
        </w:rPr>
        <w:t xml:space="preserve"> with the impact of global capitalism, inequalities of power, and </w:t>
      </w:r>
      <w:proofErr w:type="spellStart"/>
      <w:r w:rsidRPr="000A6D30">
        <w:rPr>
          <w:color w:val="000000"/>
        </w:rPr>
        <w:t>neocolonial</w:t>
      </w:r>
      <w:proofErr w:type="spellEnd"/>
      <w:r w:rsidRPr="000A6D30">
        <w:rPr>
          <w:color w:val="000000"/>
        </w:rPr>
        <w:t xml:space="preserve"> national and international relationships today. Postcolonial criticism can thus be defined as the “analysis of cultural forms which mediate, challenge or reflect upon the relations of domination and subordination – economic, cultural and political – between (and often within) nations, races or cultures” (Moore-Gilbert, 1997, p. 12). One effect of these relations is the fact that traumatic, violent, exclusionary or impoverished environments and histories generate high levels of disability. Approximately 80 percent of the world’s disabled population lives in developing countries (Davidson, 2008, p. 170; see also Disability in the Majo</w:t>
      </w:r>
      <w:r>
        <w:rPr>
          <w:color w:val="000000"/>
        </w:rPr>
        <w:t>rity World), and indigenous or “</w:t>
      </w:r>
      <w:r w:rsidRPr="000A6D30">
        <w:rPr>
          <w:color w:val="000000"/>
        </w:rPr>
        <w:t>Fourth World</w:t>
      </w:r>
      <w:r>
        <w:rPr>
          <w:color w:val="000000"/>
        </w:rPr>
        <w:t>”</w:t>
      </w:r>
      <w:r w:rsidRPr="000A6D30">
        <w:rPr>
          <w:color w:val="000000"/>
        </w:rPr>
        <w:t xml:space="preserve"> peoples living in supposedly </w:t>
      </w:r>
      <w:r>
        <w:rPr>
          <w:color w:val="000000"/>
        </w:rPr>
        <w:t>“</w:t>
      </w:r>
      <w:r w:rsidRPr="000A6D30">
        <w:rPr>
          <w:color w:val="000000"/>
        </w:rPr>
        <w:t>First World</w:t>
      </w:r>
      <w:r>
        <w:rPr>
          <w:color w:val="000000"/>
        </w:rPr>
        <w:t>”</w:t>
      </w:r>
      <w:r w:rsidRPr="000A6D30">
        <w:rPr>
          <w:color w:val="000000"/>
        </w:rPr>
        <w:t xml:space="preserve"> societies experience higher levels of disability and chronic ill health than majority populations, </w:t>
      </w:r>
      <w:proofErr w:type="spellStart"/>
      <w:r w:rsidRPr="000A6D30">
        <w:rPr>
          <w:color w:val="000000"/>
        </w:rPr>
        <w:t>sign</w:t>
      </w:r>
      <w:r>
        <w:rPr>
          <w:color w:val="000000"/>
        </w:rPr>
        <w:t>aling</w:t>
      </w:r>
      <w:proofErr w:type="spellEnd"/>
      <w:r>
        <w:rPr>
          <w:color w:val="000000"/>
        </w:rPr>
        <w:t xml:space="preserve"> a</w:t>
      </w:r>
      <w:r w:rsidRPr="000A6D30">
        <w:rPr>
          <w:color w:val="000000"/>
        </w:rPr>
        <w:t xml:space="preserve"> causal link between colonialism and disability (</w:t>
      </w:r>
      <w:proofErr w:type="spellStart"/>
      <w:r w:rsidRPr="000A6D30">
        <w:rPr>
          <w:color w:val="000000"/>
        </w:rPr>
        <w:t>Durie</w:t>
      </w:r>
      <w:proofErr w:type="spellEnd"/>
      <w:r w:rsidRPr="000A6D30">
        <w:rPr>
          <w:color w:val="000000"/>
        </w:rPr>
        <w:t>, 2003; Smith, 1999). (Post</w:t>
      </w:r>
      <w:proofErr w:type="gramStart"/>
      <w:r w:rsidRPr="000A6D30">
        <w:rPr>
          <w:color w:val="000000"/>
        </w:rPr>
        <w:t>)colonial</w:t>
      </w:r>
      <w:proofErr w:type="gramEnd"/>
      <w:r w:rsidRPr="000A6D30">
        <w:rPr>
          <w:color w:val="000000"/>
        </w:rPr>
        <w:t xml:space="preserve"> histories are punctuated by disabling events such as war, population displacement and civil unrest, as well as ongoing poverty. In such societies, disability may consequently be “as much about national and cultural power differentials as it is a matter of medicine and bodies” (Davidson, 2008, p. 175).</w:t>
      </w:r>
    </w:p>
    <w:p w:rsidR="00303BE1" w:rsidRPr="000A6D30" w:rsidRDefault="00303BE1" w:rsidP="00303BE1">
      <w:pPr>
        <w:rPr>
          <w:color w:val="000000"/>
        </w:rPr>
      </w:pPr>
    </w:p>
    <w:p w:rsidR="00303BE1" w:rsidRPr="000A6D30" w:rsidRDefault="00303BE1" w:rsidP="00303BE1">
      <w:pPr>
        <w:ind w:firstLine="720"/>
        <w:rPr>
          <w:color w:val="000000"/>
        </w:rPr>
      </w:pPr>
      <w:r w:rsidRPr="000A6D30">
        <w:rPr>
          <w:color w:val="000000"/>
        </w:rPr>
        <w:t>This article focuses on representations of disability in postcolonial litera</w:t>
      </w:r>
      <w:r>
        <w:rPr>
          <w:color w:val="000000"/>
        </w:rPr>
        <w:t>ture, a cultural form which</w:t>
      </w:r>
      <w:r w:rsidRPr="000A6D30">
        <w:rPr>
          <w:color w:val="000000"/>
        </w:rPr>
        <w:t xml:space="preserve">, through its representations of disabled characters, </w:t>
      </w:r>
      <w:r>
        <w:rPr>
          <w:color w:val="000000"/>
        </w:rPr>
        <w:t xml:space="preserve">is able </w:t>
      </w:r>
      <w:r w:rsidRPr="000A6D30">
        <w:rPr>
          <w:color w:val="000000"/>
        </w:rPr>
        <w:t>to mount critiques of “relations of domination</w:t>
      </w:r>
      <w:r>
        <w:rPr>
          <w:color w:val="000000"/>
        </w:rPr>
        <w:t xml:space="preserve"> and subordination” as they apply </w:t>
      </w:r>
      <w:r w:rsidRPr="000A6D30">
        <w:rPr>
          <w:color w:val="000000"/>
        </w:rPr>
        <w:t>to disability in non-western societies. Postcolonial literary criticism, in turn, offers methodologies for the analysis of marginalized subject positions, which are attentive to culturally specific constructions of identity. The du</w:t>
      </w:r>
      <w:r>
        <w:rPr>
          <w:color w:val="000000"/>
        </w:rPr>
        <w:t>al lenses of postcolonial</w:t>
      </w:r>
      <w:r w:rsidRPr="000A6D30">
        <w:rPr>
          <w:color w:val="000000"/>
        </w:rPr>
        <w:t xml:space="preserve"> and disability theory </w:t>
      </w:r>
      <w:r>
        <w:rPr>
          <w:color w:val="000000"/>
        </w:rPr>
        <w:t xml:space="preserve">can </w:t>
      </w:r>
      <w:r w:rsidRPr="000A6D30">
        <w:rPr>
          <w:color w:val="000000"/>
        </w:rPr>
        <w:t xml:space="preserve">therefore draw attention to the nuances of social, cultural, political and economic histories and their impact on the representation and administration of disability. </w:t>
      </w:r>
      <w:r w:rsidRPr="00B6481A">
        <w:rPr>
          <w:color w:val="000000"/>
        </w:rPr>
        <w:t>I will demonstrate this point</w:t>
      </w:r>
      <w:r w:rsidRPr="000A6D30">
        <w:rPr>
          <w:color w:val="000000"/>
        </w:rPr>
        <w:t xml:space="preserve"> </w:t>
      </w:r>
      <w:r>
        <w:rPr>
          <w:color w:val="000000"/>
        </w:rPr>
        <w:t>with reference to</w:t>
      </w:r>
      <w:r w:rsidRPr="000A6D30">
        <w:rPr>
          <w:color w:val="000000"/>
        </w:rPr>
        <w:t xml:space="preserve"> </w:t>
      </w:r>
      <w:proofErr w:type="spellStart"/>
      <w:r w:rsidRPr="000A6D30">
        <w:rPr>
          <w:color w:val="000000"/>
        </w:rPr>
        <w:t>Salman</w:t>
      </w:r>
      <w:proofErr w:type="spellEnd"/>
      <w:r w:rsidRPr="000A6D30">
        <w:rPr>
          <w:color w:val="000000"/>
        </w:rPr>
        <w:t xml:space="preserve"> Rushdie’s </w:t>
      </w:r>
      <w:r w:rsidRPr="000A6D30">
        <w:rPr>
          <w:i/>
          <w:color w:val="000000"/>
        </w:rPr>
        <w:t>Midnight’s Children</w:t>
      </w:r>
      <w:r w:rsidRPr="000A6D30">
        <w:rPr>
          <w:color w:val="000000"/>
        </w:rPr>
        <w:t xml:space="preserve"> (1981), a novel often read as a paradigmatic example of postcolonial national allegory, and whose protagonist, </w:t>
      </w:r>
      <w:proofErr w:type="spellStart"/>
      <w:r w:rsidRPr="000A6D30">
        <w:rPr>
          <w:color w:val="000000"/>
        </w:rPr>
        <w:t>Saleem</w:t>
      </w:r>
      <w:proofErr w:type="spellEnd"/>
      <w:r w:rsidRPr="000A6D30">
        <w:rPr>
          <w:color w:val="000000"/>
        </w:rPr>
        <w:t xml:space="preserve"> Sinai, could be characterized as the “poster child” of postcolonial literature. Winner of the 1981 Booker Prize, the 1993 Booker of Bookers, and the 2008 Best of the Bookers, </w:t>
      </w:r>
      <w:r w:rsidRPr="000A6D30">
        <w:rPr>
          <w:i/>
          <w:color w:val="000000"/>
        </w:rPr>
        <w:t xml:space="preserve">Midnight’s Children </w:t>
      </w:r>
      <w:r w:rsidRPr="000A6D30">
        <w:rPr>
          <w:color w:val="000000"/>
        </w:rPr>
        <w:t xml:space="preserve">arguably </w:t>
      </w:r>
      <w:proofErr w:type="spellStart"/>
      <w:r w:rsidRPr="000A6D30">
        <w:rPr>
          <w:color w:val="000000"/>
        </w:rPr>
        <w:t>aestheticizes</w:t>
      </w:r>
      <w:proofErr w:type="spellEnd"/>
      <w:r w:rsidRPr="000A6D30">
        <w:rPr>
          <w:color w:val="000000"/>
        </w:rPr>
        <w:t xml:space="preserve">, </w:t>
      </w:r>
      <w:proofErr w:type="spellStart"/>
      <w:r w:rsidRPr="000A6D30">
        <w:rPr>
          <w:color w:val="000000"/>
        </w:rPr>
        <w:t>commoditizes</w:t>
      </w:r>
      <w:proofErr w:type="spellEnd"/>
      <w:r w:rsidRPr="000A6D30">
        <w:rPr>
          <w:color w:val="000000"/>
        </w:rPr>
        <w:t xml:space="preserve"> and packages the non-western disabled figure for global </w:t>
      </w:r>
      <w:r w:rsidRPr="005A60D6">
        <w:rPr>
          <w:color w:val="000000"/>
        </w:rPr>
        <w:t>consumption</w:t>
      </w:r>
      <w:r>
        <w:rPr>
          <w:color w:val="000000"/>
        </w:rPr>
        <w:t>.</w:t>
      </w:r>
      <w:r w:rsidRPr="005A60D6">
        <w:rPr>
          <w:color w:val="000000"/>
          <w:vertAlign w:val="superscript"/>
        </w:rPr>
        <w:t>1</w:t>
      </w:r>
      <w:r w:rsidRPr="000A6D30">
        <w:rPr>
          <w:color w:val="000000"/>
        </w:rPr>
        <w:t xml:space="preserve"> Through analysis of the novel’s postcolonial politics, however, I </w:t>
      </w:r>
      <w:r>
        <w:rPr>
          <w:color w:val="000000"/>
        </w:rPr>
        <w:t>show how</w:t>
      </w:r>
      <w:r w:rsidRPr="000A6D30">
        <w:rPr>
          <w:color w:val="000000"/>
        </w:rPr>
        <w:t xml:space="preserve"> literary narratives </w:t>
      </w:r>
      <w:r>
        <w:rPr>
          <w:color w:val="000000"/>
        </w:rPr>
        <w:t xml:space="preserve">can </w:t>
      </w:r>
      <w:r w:rsidRPr="000A6D30">
        <w:rPr>
          <w:color w:val="000000"/>
        </w:rPr>
        <w:t xml:space="preserve">present complex and sophisticated insights into the aesthetics and politics of disability, potentially providing an antidote to the reductive image of the non-western disabled poster child. Strategies for </w:t>
      </w:r>
      <w:r w:rsidRPr="000A6D30">
        <w:rPr>
          <w:i/>
          <w:color w:val="000000"/>
        </w:rPr>
        <w:t xml:space="preserve">reading </w:t>
      </w:r>
      <w:r w:rsidRPr="000A6D30">
        <w:rPr>
          <w:color w:val="000000"/>
        </w:rPr>
        <w:t>disability narratives must therefore be updated to account for the</w:t>
      </w:r>
      <w:r>
        <w:rPr>
          <w:color w:val="000000"/>
        </w:rPr>
        <w:t xml:space="preserve"> multiple vectors of difference</w:t>
      </w:r>
      <w:r w:rsidRPr="000A6D30">
        <w:rPr>
          <w:color w:val="000000"/>
        </w:rPr>
        <w:t xml:space="preserve"> and the diverse cultural contexts</w:t>
      </w:r>
      <w:r>
        <w:rPr>
          <w:color w:val="000000"/>
        </w:rPr>
        <w:t xml:space="preserve"> of disability</w:t>
      </w:r>
      <w:r w:rsidRPr="000A6D30">
        <w:rPr>
          <w:color w:val="000000"/>
        </w:rPr>
        <w:t xml:space="preserve"> </w:t>
      </w:r>
      <w:proofErr w:type="gramStart"/>
      <w:r w:rsidRPr="000A6D30">
        <w:rPr>
          <w:color w:val="000000"/>
        </w:rPr>
        <w:t>that postcolonial writing offers</w:t>
      </w:r>
      <w:proofErr w:type="gramEnd"/>
      <w:r w:rsidRPr="000A6D30">
        <w:rPr>
          <w:color w:val="000000"/>
        </w:rPr>
        <w:t>.</w:t>
      </w:r>
    </w:p>
    <w:p w:rsidR="00303BE1" w:rsidRPr="000A6D30" w:rsidRDefault="00303BE1" w:rsidP="00303BE1">
      <w:pPr>
        <w:rPr>
          <w:color w:val="000000"/>
        </w:rPr>
      </w:pPr>
    </w:p>
    <w:p w:rsidR="00303BE1" w:rsidRPr="000A6D30" w:rsidRDefault="00303BE1" w:rsidP="00303BE1">
      <w:pPr>
        <w:ind w:firstLine="720"/>
        <w:rPr>
          <w:color w:val="000000"/>
        </w:rPr>
      </w:pPr>
      <w:r w:rsidRPr="000A6D30">
        <w:rPr>
          <w:color w:val="000000"/>
        </w:rPr>
        <w:lastRenderedPageBreak/>
        <w:t>So far, research on the interface between postcolonial studies and disability studies has tended simply to</w:t>
      </w:r>
      <w:r>
        <w:rPr>
          <w:color w:val="000000"/>
        </w:rPr>
        <w:t xml:space="preserve"> advocate, rather than develop</w:t>
      </w:r>
      <w:r w:rsidRPr="000A6D30">
        <w:rPr>
          <w:color w:val="000000"/>
        </w:rPr>
        <w:t xml:space="preserve">, interdisciplinary critical methodologies. For example, Sharon Snyder and David Mitchell (2006) readily admit that their own groundbreaking work, at the forefront of cultural disability studies, lacks attention to constructions of disability outside a western </w:t>
      </w:r>
      <w:r w:rsidRPr="005A60D6">
        <w:rPr>
          <w:color w:val="000000"/>
        </w:rPr>
        <w:t>framework:</w:t>
      </w:r>
      <w:r>
        <w:rPr>
          <w:rStyle w:val="EndnoteReference"/>
          <w:rFonts w:eastAsia="SimSun"/>
          <w:color w:val="000000"/>
        </w:rPr>
        <w:t>2</w:t>
      </w:r>
    </w:p>
    <w:p w:rsidR="00303BE1" w:rsidRPr="000A6D30" w:rsidRDefault="00303BE1" w:rsidP="00303BE1">
      <w:pPr>
        <w:rPr>
          <w:color w:val="000000"/>
        </w:rPr>
      </w:pPr>
    </w:p>
    <w:p w:rsidR="00303BE1" w:rsidRPr="00E63518" w:rsidRDefault="00303BE1" w:rsidP="00303BE1">
      <w:pPr>
        <w:pStyle w:val="prosequotation"/>
        <w:spacing w:before="0"/>
        <w:jc w:val="left"/>
        <w:rPr>
          <w:color w:val="000000"/>
          <w:szCs w:val="24"/>
        </w:rPr>
      </w:pPr>
      <w:r w:rsidRPr="000A6D30">
        <w:t xml:space="preserve">“The field needs to […] grow more international in its critique (and less Eurocentric in its models). The future of the field depends upon its ability to take up this challenge in a way that does not replicate the global </w:t>
      </w:r>
      <w:proofErr w:type="spellStart"/>
      <w:r w:rsidRPr="000A6D30">
        <w:t>commodification</w:t>
      </w:r>
      <w:proofErr w:type="spellEnd"/>
      <w:r w:rsidRPr="000A6D30">
        <w:t xml:space="preserve"> of other identities. </w:t>
      </w:r>
      <w:proofErr w:type="gramStart"/>
      <w:r w:rsidRPr="000A6D30">
        <w:t>This entails a thoroughgoing recognition that Western-based methodologies have limited utility for apprehending disability in other cultura</w:t>
      </w:r>
      <w:r>
        <w:t>l contexts” (pp. 198-199).</w:t>
      </w:r>
      <w:proofErr w:type="gramEnd"/>
    </w:p>
    <w:p w:rsidR="00303BE1" w:rsidRDefault="00303BE1" w:rsidP="00303BE1">
      <w:pPr>
        <w:pStyle w:val="noindentprose"/>
        <w:spacing w:line="240" w:lineRule="auto"/>
        <w:ind w:firstLine="72"/>
        <w:jc w:val="left"/>
      </w:pPr>
      <w:r w:rsidRPr="000A6D30">
        <w:t>As Snyder and Mitchell identify, the application of disability theory to postcol</w:t>
      </w:r>
      <w:r>
        <w:t>onial cultural productions, and conversely</w:t>
      </w:r>
      <w:r w:rsidRPr="000A6D30">
        <w:t xml:space="preserve"> the theorization of disability from the perspective of non-western cultural epistemologies, is only just beginning to be undertaken within humanities-based disability </w:t>
      </w:r>
      <w:r w:rsidRPr="005A60D6">
        <w:t>studies</w:t>
      </w:r>
      <w:r w:rsidRPr="000A6D30">
        <w:t>.</w:t>
      </w:r>
      <w:r w:rsidRPr="005A60D6">
        <w:rPr>
          <w:rFonts w:eastAsia="SimSun"/>
          <w:color w:val="000000"/>
          <w:szCs w:val="24"/>
          <w:vertAlign w:val="superscript"/>
        </w:rPr>
        <w:t>3</w:t>
      </w:r>
      <w:r w:rsidRPr="000A6D30">
        <w:t xml:space="preserve"> Since most of this scholarship is emerging from western, middle-class academic contexts, there is a pressing need for disability researchers to “decolonize” their critical “methodologies” (Smith, 1999). This involves deconstructing assumptions and practices central to the analysis of mainstream western literary and cultural narratives, and reframing critical readings so they prioritize indigenous or local constructions of disability.</w:t>
      </w:r>
    </w:p>
    <w:p w:rsidR="00303BE1" w:rsidRPr="009462CF" w:rsidRDefault="00303BE1" w:rsidP="00303BE1">
      <w:pPr>
        <w:ind w:firstLine="72"/>
      </w:pPr>
    </w:p>
    <w:p w:rsidR="00303BE1" w:rsidRDefault="00303BE1" w:rsidP="00303BE1">
      <w:pPr>
        <w:ind w:firstLine="72"/>
        <w:jc w:val="center"/>
      </w:pPr>
      <w:r>
        <w:t>Metaphor, Prosthesis, and Global Disability Narratives</w:t>
      </w:r>
    </w:p>
    <w:p w:rsidR="00303BE1" w:rsidRPr="009462CF" w:rsidRDefault="00303BE1" w:rsidP="00303BE1">
      <w:pPr>
        <w:ind w:firstLine="72"/>
        <w:jc w:val="center"/>
      </w:pPr>
    </w:p>
    <w:p w:rsidR="00303BE1" w:rsidRPr="000A6D30" w:rsidRDefault="00303BE1" w:rsidP="00303BE1">
      <w:pPr>
        <w:ind w:firstLine="720"/>
        <w:rPr>
          <w:color w:val="000000"/>
        </w:rPr>
      </w:pPr>
      <w:r w:rsidRPr="000A6D30">
        <w:rPr>
          <w:color w:val="000000"/>
        </w:rPr>
        <w:t xml:space="preserve">Literary disability theorists have </w:t>
      </w:r>
      <w:r>
        <w:rPr>
          <w:color w:val="000000"/>
        </w:rPr>
        <w:t>persuasively shown how d</w:t>
      </w:r>
      <w:r w:rsidRPr="000A6D30">
        <w:rPr>
          <w:color w:val="000000"/>
        </w:rPr>
        <w:t xml:space="preserve">isability is often used within creative productions as a storytelling “crutch,” termed “narrative prosthesis” by Mitchell and Snyder (2000), which represents </w:t>
      </w:r>
      <w:r w:rsidRPr="000A6D30">
        <w:rPr>
          <w:i/>
          <w:color w:val="000000"/>
        </w:rPr>
        <w:t>other</w:t>
      </w:r>
      <w:r w:rsidRPr="000A6D30">
        <w:rPr>
          <w:color w:val="000000"/>
        </w:rPr>
        <w:t xml:space="preserve"> conditions of disempowerment, lack or deviance. According to the “double bind” of disability representation, disability becomes “a master metaphor for social</w:t>
      </w:r>
      <w:r>
        <w:rPr>
          <w:color w:val="000000"/>
        </w:rPr>
        <w:t xml:space="preserve"> ills’” (Mitchell, 2002, p. 24)</w:t>
      </w:r>
      <w:r w:rsidRPr="000A6D30">
        <w:rPr>
          <w:color w:val="000000"/>
        </w:rPr>
        <w:t xml:space="preserve"> but “firmly </w:t>
      </w:r>
      <w:proofErr w:type="gramStart"/>
      <w:r w:rsidRPr="000A6D30">
        <w:rPr>
          <w:color w:val="000000"/>
        </w:rPr>
        <w:t>entrench[</w:t>
      </w:r>
      <w:proofErr w:type="spellStart"/>
      <w:proofErr w:type="gramEnd"/>
      <w:r w:rsidRPr="000A6D30">
        <w:rPr>
          <w:color w:val="000000"/>
        </w:rPr>
        <w:t>es</w:t>
      </w:r>
      <w:proofErr w:type="spellEnd"/>
      <w:r w:rsidRPr="000A6D30">
        <w:rPr>
          <w:color w:val="000000"/>
        </w:rPr>
        <w:t>]” disabled people “on the outer margins of social power and cultural value” (</w:t>
      </w:r>
      <w:r>
        <w:rPr>
          <w:color w:val="000000"/>
        </w:rPr>
        <w:t>Mitchell &amp; Snyder, 1997a, p. 6).</w:t>
      </w:r>
      <w:r w:rsidRPr="000A6D30">
        <w:rPr>
          <w:color w:val="000000"/>
        </w:rPr>
        <w:t xml:space="preserve"> Despite the existence of “disability </w:t>
      </w:r>
      <w:proofErr w:type="spellStart"/>
      <w:r w:rsidRPr="000A6D30">
        <w:rPr>
          <w:color w:val="000000"/>
        </w:rPr>
        <w:t>counternarratives</w:t>
      </w:r>
      <w:proofErr w:type="spellEnd"/>
      <w:r w:rsidRPr="000A6D30">
        <w:rPr>
          <w:color w:val="000000"/>
        </w:rPr>
        <w:t xml:space="preserve">,” </w:t>
      </w:r>
      <w:r>
        <w:rPr>
          <w:color w:val="000000"/>
        </w:rPr>
        <w:t xml:space="preserve">which concentrate on forms of “social awareness” generated by disability rather than aiming to “resolve” it </w:t>
      </w:r>
      <w:r w:rsidRPr="000A6D30">
        <w:rPr>
          <w:color w:val="000000"/>
        </w:rPr>
        <w:t>(</w:t>
      </w:r>
      <w:r>
        <w:rPr>
          <w:color w:val="000000"/>
        </w:rPr>
        <w:t xml:space="preserve">Mitchell &amp; Snyder, </w:t>
      </w:r>
      <w:r w:rsidRPr="000A6D30">
        <w:rPr>
          <w:color w:val="000000"/>
        </w:rPr>
        <w:t xml:space="preserve">2000, pp. 164-165), </w:t>
      </w:r>
      <w:r>
        <w:rPr>
          <w:color w:val="000000"/>
        </w:rPr>
        <w:t xml:space="preserve">for some literary analysts </w:t>
      </w:r>
      <w:r w:rsidRPr="000A6D30">
        <w:rPr>
          <w:color w:val="000000"/>
        </w:rPr>
        <w:t xml:space="preserve">the </w:t>
      </w:r>
      <w:r>
        <w:rPr>
          <w:color w:val="000000"/>
        </w:rPr>
        <w:t>predominance</w:t>
      </w:r>
      <w:r w:rsidRPr="000A6D30">
        <w:rPr>
          <w:color w:val="000000"/>
        </w:rPr>
        <w:t xml:space="preserve"> of metaphor</w:t>
      </w:r>
      <w:r>
        <w:rPr>
          <w:color w:val="000000"/>
        </w:rPr>
        <w:t>ical disability representations</w:t>
      </w:r>
      <w:r w:rsidRPr="000A6D30">
        <w:rPr>
          <w:color w:val="000000"/>
        </w:rPr>
        <w:t xml:space="preserve"> dooms people </w:t>
      </w:r>
      <w:r>
        <w:rPr>
          <w:color w:val="000000"/>
        </w:rPr>
        <w:t>with disabilities to</w:t>
      </w:r>
      <w:r w:rsidRPr="000A6D30">
        <w:rPr>
          <w:color w:val="000000"/>
        </w:rPr>
        <w:t xml:space="preserve"> state</w:t>
      </w:r>
      <w:r>
        <w:rPr>
          <w:color w:val="000000"/>
        </w:rPr>
        <w:t>s</w:t>
      </w:r>
      <w:r w:rsidRPr="000A6D30">
        <w:rPr>
          <w:color w:val="000000"/>
        </w:rPr>
        <w:t xml:space="preserve"> of </w:t>
      </w:r>
      <w:r>
        <w:rPr>
          <w:color w:val="000000"/>
        </w:rPr>
        <w:t>disenfranchisement likened to those</w:t>
      </w:r>
      <w:r w:rsidRPr="000A6D30">
        <w:rPr>
          <w:color w:val="000000"/>
        </w:rPr>
        <w:t xml:space="preserve"> experienced by marginalized </w:t>
      </w:r>
      <w:r w:rsidRPr="00977DF2">
        <w:rPr>
          <w:color w:val="000000"/>
        </w:rPr>
        <w:t>postcolonial</w:t>
      </w:r>
      <w:r>
        <w:rPr>
          <w:color w:val="000000"/>
        </w:rPr>
        <w:t xml:space="preserve"> subjects. As Mitchell and Snyder (2005) put it,</w:t>
      </w:r>
      <w:r w:rsidRPr="000A6D30">
        <w:rPr>
          <w:color w:val="000000"/>
        </w:rPr>
        <w:t xml:space="preserve"> “Disabled people are left, as is often the case with other post-colonial subjects, to mull over the degree to which their social relations are mediated by constructed beliefs about variant bodies and minds.”</w:t>
      </w:r>
    </w:p>
    <w:p w:rsidR="00303BE1" w:rsidRPr="000A6D30" w:rsidRDefault="00303BE1" w:rsidP="00303BE1">
      <w:pPr>
        <w:rPr>
          <w:color w:val="000000"/>
        </w:rPr>
      </w:pPr>
    </w:p>
    <w:p w:rsidR="00303BE1" w:rsidRPr="000A6D30" w:rsidRDefault="00303BE1" w:rsidP="00303BE1">
      <w:pPr>
        <w:ind w:firstLine="720"/>
        <w:rPr>
          <w:color w:val="000000"/>
        </w:rPr>
      </w:pPr>
      <w:r w:rsidRPr="000A6D30">
        <w:rPr>
          <w:color w:val="000000"/>
        </w:rPr>
        <w:t xml:space="preserve">In theorizing disability representation in this way, Mitchell and Snyder clearly draw on postcolonial theories such as </w:t>
      </w:r>
      <w:proofErr w:type="spellStart"/>
      <w:r w:rsidRPr="000A6D30">
        <w:rPr>
          <w:color w:val="000000"/>
        </w:rPr>
        <w:t>Gayatri</w:t>
      </w:r>
      <w:proofErr w:type="spellEnd"/>
      <w:r w:rsidRPr="000A6D30">
        <w:rPr>
          <w:color w:val="000000"/>
        </w:rPr>
        <w:t xml:space="preserve"> </w:t>
      </w:r>
      <w:proofErr w:type="spellStart"/>
      <w:r w:rsidRPr="000A6D30">
        <w:rPr>
          <w:color w:val="000000"/>
        </w:rPr>
        <w:t>Spivak’s</w:t>
      </w:r>
      <w:proofErr w:type="spellEnd"/>
      <w:r w:rsidRPr="000A6D30">
        <w:rPr>
          <w:color w:val="000000"/>
        </w:rPr>
        <w:t xml:space="preserve"> (1999) seminal work on </w:t>
      </w:r>
      <w:proofErr w:type="spellStart"/>
      <w:r w:rsidRPr="000A6D30">
        <w:rPr>
          <w:color w:val="000000"/>
        </w:rPr>
        <w:t>subalternism</w:t>
      </w:r>
      <w:proofErr w:type="spellEnd"/>
      <w:r w:rsidRPr="000A6D30">
        <w:rPr>
          <w:color w:val="000000"/>
        </w:rPr>
        <w:t xml:space="preserve">. This relationship between disabled and postcolonial subjectivity is </w:t>
      </w:r>
      <w:r>
        <w:rPr>
          <w:color w:val="000000"/>
        </w:rPr>
        <w:t>articulated more explicitly</w:t>
      </w:r>
      <w:r w:rsidRPr="000A6D30">
        <w:rPr>
          <w:color w:val="000000"/>
        </w:rPr>
        <w:t xml:space="preserve"> by Mark Sherry (2007), who notes “the rhetorical connections that are commonly made between elements of </w:t>
      </w:r>
      <w:proofErr w:type="spellStart"/>
      <w:r w:rsidRPr="000A6D30">
        <w:rPr>
          <w:color w:val="000000"/>
        </w:rPr>
        <w:t>postcolonialism</w:t>
      </w:r>
      <w:proofErr w:type="spellEnd"/>
      <w:r w:rsidRPr="000A6D30">
        <w:rPr>
          <w:color w:val="000000"/>
        </w:rPr>
        <w:t xml:space="preserve"> (exile, </w:t>
      </w:r>
      <w:proofErr w:type="spellStart"/>
      <w:r w:rsidRPr="000A6D30">
        <w:rPr>
          <w:color w:val="000000"/>
        </w:rPr>
        <w:t>diaspora</w:t>
      </w:r>
      <w:proofErr w:type="spellEnd"/>
      <w:r w:rsidRPr="000A6D30">
        <w:rPr>
          <w:color w:val="000000"/>
        </w:rPr>
        <w:t xml:space="preserve">, apartheid, slavery, and so on) and experiences of disability (deafness, psychiatric illness, blindness, etc.)” (p. 10). Similarly, Michael Davidson (2008) notes that the rhetoric of globalization “is suffused with references to physical impairment – countries suffer from </w:t>
      </w:r>
      <w:r w:rsidRPr="000A6D30">
        <w:rPr>
          <w:i/>
          <w:color w:val="000000"/>
        </w:rPr>
        <w:t xml:space="preserve">crippling </w:t>
      </w:r>
      <w:r w:rsidRPr="000A6D30">
        <w:rPr>
          <w:color w:val="000000"/>
        </w:rPr>
        <w:t xml:space="preserve">debt; national leaders who are </w:t>
      </w:r>
      <w:r w:rsidRPr="000A6D30">
        <w:rPr>
          <w:i/>
          <w:color w:val="000000"/>
        </w:rPr>
        <w:t xml:space="preserve">deaf </w:t>
      </w:r>
      <w:r w:rsidRPr="000A6D30">
        <w:rPr>
          <w:color w:val="000000"/>
        </w:rPr>
        <w:t xml:space="preserve">to the needs of their people; poverty as a </w:t>
      </w:r>
      <w:r w:rsidRPr="000A6D30">
        <w:rPr>
          <w:i/>
          <w:color w:val="000000"/>
        </w:rPr>
        <w:t xml:space="preserve">cancer </w:t>
      </w:r>
      <w:r w:rsidRPr="000A6D30">
        <w:rPr>
          <w:color w:val="000000"/>
        </w:rPr>
        <w:t xml:space="preserve">spreading throughout a region” (p. 168). In one of the most </w:t>
      </w:r>
      <w:r w:rsidRPr="000A6D30">
        <w:rPr>
          <w:color w:val="000000"/>
        </w:rPr>
        <w:lastRenderedPageBreak/>
        <w:t xml:space="preserve">persistent postcolonial narrative tropes, employed by creative writers and critics alike, disability becomes </w:t>
      </w:r>
      <w:r>
        <w:rPr>
          <w:color w:val="000000"/>
        </w:rPr>
        <w:t>an embodied marker of the “damage”</w:t>
      </w:r>
      <w:r w:rsidRPr="000A6D30">
        <w:rPr>
          <w:color w:val="000000"/>
        </w:rPr>
        <w:t xml:space="preserve"> experienced by postcolonial nations and communitie</w:t>
      </w:r>
      <w:r>
        <w:rPr>
          <w:color w:val="000000"/>
        </w:rPr>
        <w:t>s. Analogies are drawn between “</w:t>
      </w:r>
      <w:r w:rsidRPr="000A6D30">
        <w:rPr>
          <w:color w:val="000000"/>
        </w:rPr>
        <w:t>broken</w:t>
      </w:r>
      <w:r>
        <w:rPr>
          <w:color w:val="000000"/>
        </w:rPr>
        <w:t>” bodies and “</w:t>
      </w:r>
      <w:r w:rsidRPr="000A6D30">
        <w:rPr>
          <w:color w:val="000000"/>
        </w:rPr>
        <w:t>broken</w:t>
      </w:r>
      <w:r>
        <w:rPr>
          <w:color w:val="000000"/>
        </w:rPr>
        <w:t>”</w:t>
      </w:r>
      <w:r w:rsidRPr="000A6D30">
        <w:rPr>
          <w:color w:val="000000"/>
        </w:rPr>
        <w:t xml:space="preserve"> nations; histories are described in cycles of wounding and healing; societies are characterized as fragmented and dislocated. The subaltern subject’s inability to “speak” is a major figurative theme within postcolonial theory (</w:t>
      </w:r>
      <w:proofErr w:type="spellStart"/>
      <w:r w:rsidRPr="000A6D30">
        <w:rPr>
          <w:color w:val="000000"/>
        </w:rPr>
        <w:t>Spivak</w:t>
      </w:r>
      <w:proofErr w:type="spellEnd"/>
      <w:r w:rsidRPr="000A6D30">
        <w:rPr>
          <w:color w:val="000000"/>
        </w:rPr>
        <w:t xml:space="preserve">, 1999), as is Fanon’s </w:t>
      </w:r>
      <w:proofErr w:type="spellStart"/>
      <w:r w:rsidRPr="000A6D30">
        <w:rPr>
          <w:color w:val="000000"/>
        </w:rPr>
        <w:t>pathologization</w:t>
      </w:r>
      <w:proofErr w:type="spellEnd"/>
      <w:r w:rsidRPr="000A6D30">
        <w:rPr>
          <w:color w:val="000000"/>
        </w:rPr>
        <w:t xml:space="preserve"> of colonial subjectivity (1963; 1986). Connections </w:t>
      </w:r>
      <w:r>
        <w:rPr>
          <w:color w:val="000000"/>
        </w:rPr>
        <w:t>can also be</w:t>
      </w:r>
      <w:r w:rsidRPr="000A6D30">
        <w:rPr>
          <w:color w:val="000000"/>
        </w:rPr>
        <w:t xml:space="preserve"> </w:t>
      </w:r>
      <w:r>
        <w:rPr>
          <w:color w:val="000000"/>
        </w:rPr>
        <w:t xml:space="preserve">easily </w:t>
      </w:r>
      <w:r w:rsidRPr="000A6D30">
        <w:rPr>
          <w:color w:val="000000"/>
        </w:rPr>
        <w:t>made between the supposed physical and emotional dependency of people with disabilities and the economic or political “dependency” on international support of emerging postcolonial nations (</w:t>
      </w:r>
      <w:proofErr w:type="spellStart"/>
      <w:r w:rsidRPr="000A6D30">
        <w:rPr>
          <w:color w:val="000000"/>
        </w:rPr>
        <w:t>McRuer</w:t>
      </w:r>
      <w:proofErr w:type="spellEnd"/>
      <w:r w:rsidRPr="000A6D30">
        <w:rPr>
          <w:color w:val="000000"/>
        </w:rPr>
        <w:t>, 2007).</w:t>
      </w:r>
    </w:p>
    <w:p w:rsidR="00303BE1" w:rsidRPr="000A6D30" w:rsidRDefault="00303BE1" w:rsidP="00303BE1">
      <w:pPr>
        <w:rPr>
          <w:color w:val="000000"/>
        </w:rPr>
      </w:pPr>
    </w:p>
    <w:p w:rsidR="00303BE1" w:rsidRPr="000A6D30" w:rsidRDefault="00303BE1" w:rsidP="00303BE1">
      <w:pPr>
        <w:ind w:firstLine="720"/>
        <w:rPr>
          <w:color w:val="000000"/>
        </w:rPr>
      </w:pPr>
      <w:r w:rsidRPr="000A6D30">
        <w:rPr>
          <w:color w:val="000000"/>
        </w:rPr>
        <w:t xml:space="preserve">Given the pervasive nature of disability as a trope, </w:t>
      </w:r>
      <w:r>
        <w:rPr>
          <w:color w:val="000000"/>
        </w:rPr>
        <w:t xml:space="preserve">its lack of critical interrogation within </w:t>
      </w:r>
      <w:r w:rsidRPr="000A6D30">
        <w:rPr>
          <w:color w:val="000000"/>
        </w:rPr>
        <w:t xml:space="preserve">postcolonial literary studies </w:t>
      </w:r>
      <w:r>
        <w:rPr>
          <w:color w:val="000000"/>
        </w:rPr>
        <w:t>represents</w:t>
      </w:r>
      <w:r w:rsidRPr="000A6D30">
        <w:rPr>
          <w:color w:val="000000"/>
        </w:rPr>
        <w:t xml:space="preserve"> a considerable </w:t>
      </w:r>
      <w:r>
        <w:rPr>
          <w:color w:val="000000"/>
        </w:rPr>
        <w:t xml:space="preserve">theoretical </w:t>
      </w:r>
      <w:r w:rsidRPr="000A6D30">
        <w:rPr>
          <w:color w:val="000000"/>
        </w:rPr>
        <w:t>deficit. The</w:t>
      </w:r>
      <w:r w:rsidRPr="000A6D30">
        <w:rPr>
          <w:i/>
          <w:color w:val="000000"/>
        </w:rPr>
        <w:t xml:space="preserve"> body’s</w:t>
      </w:r>
      <w:r w:rsidRPr="000A6D30">
        <w:rPr>
          <w:color w:val="000000"/>
        </w:rPr>
        <w:t xml:space="preserve"> figurative potential is widely recognized; </w:t>
      </w:r>
      <w:proofErr w:type="spellStart"/>
      <w:r w:rsidRPr="000A6D30">
        <w:rPr>
          <w:color w:val="000000"/>
        </w:rPr>
        <w:t>Elleke</w:t>
      </w:r>
      <w:proofErr w:type="spellEnd"/>
      <w:r w:rsidRPr="000A6D30">
        <w:rPr>
          <w:color w:val="000000"/>
        </w:rPr>
        <w:t xml:space="preserve"> </w:t>
      </w:r>
      <w:proofErr w:type="spellStart"/>
      <w:r w:rsidRPr="000A6D30">
        <w:rPr>
          <w:color w:val="000000"/>
        </w:rPr>
        <w:t>Boehmer</w:t>
      </w:r>
      <w:proofErr w:type="spellEnd"/>
      <w:r w:rsidRPr="000A6D30">
        <w:rPr>
          <w:color w:val="000000"/>
        </w:rPr>
        <w:t xml:space="preserve"> (2005), for example, identifies how, “in colonial representation, exclusion, suppression and relegation can often be seen as literally </w:t>
      </w:r>
      <w:r w:rsidRPr="000A6D30">
        <w:rPr>
          <w:i/>
          <w:color w:val="000000"/>
        </w:rPr>
        <w:t>embodied</w:t>
      </w:r>
      <w:r w:rsidRPr="000A6D30">
        <w:rPr>
          <w:color w:val="000000"/>
        </w:rPr>
        <w:t xml:space="preserve">” by “the silent and wounded body of the colonized” (p. 129; p. 131). The bodies under critical consideration here are clearly disabled bodies, and yet disability remains an unspoken and under-theorized term in postcolonial textual analysis. This is perhaps due to the instability of disability as an identity category (Davis, 2002a), which impacts upon its collective politics and, by extension, affects the theoretical constructs we use to examine literary representations of disabled identities. Because disability lacks recognition within postcolonial theory as a coherent and politicized </w:t>
      </w:r>
      <w:r>
        <w:rPr>
          <w:color w:val="000000"/>
        </w:rPr>
        <w:t xml:space="preserve">subject position or a material </w:t>
      </w:r>
      <w:r w:rsidRPr="000A6D30">
        <w:rPr>
          <w:color w:val="000000"/>
        </w:rPr>
        <w:t xml:space="preserve">component of identity, disabled figures tend to be objectified and </w:t>
      </w:r>
      <w:proofErr w:type="spellStart"/>
      <w:r>
        <w:rPr>
          <w:color w:val="000000"/>
        </w:rPr>
        <w:t>decontextualized</w:t>
      </w:r>
      <w:proofErr w:type="spellEnd"/>
      <w:r w:rsidRPr="000A6D30">
        <w:rPr>
          <w:color w:val="000000"/>
        </w:rPr>
        <w:t xml:space="preserve">. Even socially engaged, culturally sensitive postcolonial reading practices, committed to establishing the agency of racial, gendered or indigenous minorities, can reproduce assumptions that disability functions in the exclusively figurative terms of narrative prosthesis. This does not always reflect inadequate modes of </w:t>
      </w:r>
      <w:r w:rsidRPr="000A6D30">
        <w:rPr>
          <w:i/>
          <w:color w:val="000000"/>
        </w:rPr>
        <w:t>representation</w:t>
      </w:r>
      <w:r>
        <w:rPr>
          <w:color w:val="000000"/>
        </w:rPr>
        <w:t>; however,</w:t>
      </w:r>
      <w:r w:rsidRPr="000A6D30">
        <w:rPr>
          <w:color w:val="000000"/>
        </w:rPr>
        <w:t xml:space="preserve"> in many cases, it indicates an underdeveloped </w:t>
      </w:r>
      <w:r w:rsidRPr="000A6D30">
        <w:rPr>
          <w:i/>
          <w:color w:val="000000"/>
        </w:rPr>
        <w:t xml:space="preserve">critical </w:t>
      </w:r>
      <w:r w:rsidRPr="000A6D30">
        <w:rPr>
          <w:color w:val="000000"/>
        </w:rPr>
        <w:t>v</w:t>
      </w:r>
      <w:r>
        <w:rPr>
          <w:color w:val="000000"/>
        </w:rPr>
        <w:t xml:space="preserve">ocabulary regarding disability. </w:t>
      </w:r>
      <w:r w:rsidRPr="000A6D30">
        <w:rPr>
          <w:color w:val="000000"/>
        </w:rPr>
        <w:t xml:space="preserve">A </w:t>
      </w:r>
      <w:r>
        <w:rPr>
          <w:color w:val="000000"/>
        </w:rPr>
        <w:t>critical</w:t>
      </w:r>
      <w:r w:rsidRPr="000A6D30">
        <w:rPr>
          <w:color w:val="000000"/>
        </w:rPr>
        <w:t xml:space="preserve"> perspective </w:t>
      </w:r>
      <w:r>
        <w:rPr>
          <w:color w:val="000000"/>
        </w:rPr>
        <w:t xml:space="preserve">informed by disability studies </w:t>
      </w:r>
      <w:r w:rsidRPr="000A6D30">
        <w:rPr>
          <w:color w:val="000000"/>
        </w:rPr>
        <w:t>can therefore help to fill out elisions within postcolonial theory and literary</w:t>
      </w:r>
      <w:r>
        <w:rPr>
          <w:color w:val="000000"/>
        </w:rPr>
        <w:t xml:space="preserve"> criticism. The reclamation of “</w:t>
      </w:r>
      <w:r w:rsidRPr="000A6D30">
        <w:rPr>
          <w:color w:val="000000"/>
        </w:rPr>
        <w:t>wounded</w:t>
      </w:r>
      <w:r>
        <w:rPr>
          <w:color w:val="000000"/>
        </w:rPr>
        <w:t>”</w:t>
      </w:r>
      <w:r w:rsidRPr="000A6D30">
        <w:rPr>
          <w:color w:val="000000"/>
        </w:rPr>
        <w:t xml:space="preserve"> postcolonial bodies as overtly </w:t>
      </w:r>
      <w:r w:rsidRPr="000A6D30">
        <w:rPr>
          <w:i/>
          <w:color w:val="000000"/>
        </w:rPr>
        <w:t>disabled</w:t>
      </w:r>
      <w:r w:rsidRPr="000A6D30">
        <w:rPr>
          <w:color w:val="000000"/>
        </w:rPr>
        <w:t xml:space="preserve"> bodies </w:t>
      </w:r>
      <w:r>
        <w:rPr>
          <w:color w:val="000000"/>
        </w:rPr>
        <w:t>helps to foreground</w:t>
      </w:r>
      <w:r w:rsidRPr="000A6D30">
        <w:rPr>
          <w:color w:val="000000"/>
        </w:rPr>
        <w:t xml:space="preserve"> the multifaceted material, as well as metaphorical, meanings they embody in fictional texts, and to encourage the reading of disabled characters in terms of agency and politics rather than </w:t>
      </w:r>
      <w:r>
        <w:rPr>
          <w:color w:val="000000"/>
        </w:rPr>
        <w:t>exclusively</w:t>
      </w:r>
      <w:r w:rsidRPr="000A6D30">
        <w:rPr>
          <w:color w:val="000000"/>
        </w:rPr>
        <w:t xml:space="preserve"> as aesthetic devices.</w:t>
      </w:r>
    </w:p>
    <w:p w:rsidR="00303BE1" w:rsidRPr="000A6D30" w:rsidRDefault="00303BE1" w:rsidP="00303BE1">
      <w:pPr>
        <w:rPr>
          <w:color w:val="000000"/>
        </w:rPr>
      </w:pPr>
    </w:p>
    <w:p w:rsidR="00303BE1" w:rsidRDefault="00303BE1" w:rsidP="00303BE1">
      <w:pPr>
        <w:ind w:firstLine="720"/>
        <w:rPr>
          <w:color w:val="000000"/>
        </w:rPr>
      </w:pPr>
      <w:r w:rsidRPr="000A6D30">
        <w:rPr>
          <w:color w:val="000000"/>
        </w:rPr>
        <w:t xml:space="preserve">Conversely, disability studies can benefit from </w:t>
      </w:r>
      <w:proofErr w:type="spellStart"/>
      <w:r w:rsidRPr="000A6D30">
        <w:rPr>
          <w:color w:val="000000"/>
        </w:rPr>
        <w:t>postcolonialist</w:t>
      </w:r>
      <w:proofErr w:type="spellEnd"/>
      <w:r w:rsidRPr="000A6D30">
        <w:rPr>
          <w:color w:val="000000"/>
        </w:rPr>
        <w:t xml:space="preserve"> reading practices, since a textual preoccupation with the materiality of </w:t>
      </w:r>
      <w:r w:rsidRPr="00977DF2">
        <w:rPr>
          <w:color w:val="000000"/>
        </w:rPr>
        <w:t>postcolonial</w:t>
      </w:r>
      <w:r w:rsidRPr="000A6D30">
        <w:rPr>
          <w:color w:val="000000"/>
        </w:rPr>
        <w:t xml:space="preserve"> experience necessarily impacts upon disability representations. Following Robert </w:t>
      </w:r>
      <w:proofErr w:type="spellStart"/>
      <w:r w:rsidRPr="000A6D30">
        <w:rPr>
          <w:color w:val="000000"/>
        </w:rPr>
        <w:t>McRuer</w:t>
      </w:r>
      <w:proofErr w:type="spellEnd"/>
      <w:r w:rsidRPr="000A6D30">
        <w:rPr>
          <w:color w:val="000000"/>
        </w:rPr>
        <w:t xml:space="preserve"> (2006), who “would qualify the </w:t>
      </w:r>
      <w:proofErr w:type="spellStart"/>
      <w:r w:rsidRPr="000A6D30">
        <w:rPr>
          <w:color w:val="000000"/>
        </w:rPr>
        <w:t>transhistorical</w:t>
      </w:r>
      <w:proofErr w:type="spellEnd"/>
      <w:r w:rsidRPr="000A6D30">
        <w:rPr>
          <w:color w:val="000000"/>
        </w:rPr>
        <w:t xml:space="preserve"> applicability Mitchell and Snyder give to their theory” (p. 225), I </w:t>
      </w:r>
      <w:r>
        <w:rPr>
          <w:color w:val="000000"/>
        </w:rPr>
        <w:t>contend</w:t>
      </w:r>
      <w:r w:rsidRPr="000A6D30">
        <w:rPr>
          <w:color w:val="000000"/>
        </w:rPr>
        <w:t xml:space="preserve"> that the </w:t>
      </w:r>
      <w:proofErr w:type="spellStart"/>
      <w:r w:rsidRPr="000A6D30">
        <w:rPr>
          <w:color w:val="000000"/>
        </w:rPr>
        <w:t>trans</w:t>
      </w:r>
      <w:r w:rsidRPr="000A6D30">
        <w:rPr>
          <w:i/>
          <w:color w:val="000000"/>
        </w:rPr>
        <w:t>cultural</w:t>
      </w:r>
      <w:proofErr w:type="spellEnd"/>
      <w:r w:rsidRPr="000A6D30">
        <w:rPr>
          <w:i/>
          <w:color w:val="000000"/>
        </w:rPr>
        <w:t xml:space="preserve"> </w:t>
      </w:r>
      <w:r w:rsidRPr="000A6D30">
        <w:rPr>
          <w:color w:val="000000"/>
        </w:rPr>
        <w:t xml:space="preserve">applicability of narrative prosthesis must also be qualified. While it may be a productive point of access to disability narratives which lend themselves to allegorical interpretations, writers and texts that emerge from different cultural contexts and deal with very specific </w:t>
      </w:r>
      <w:r>
        <w:rPr>
          <w:color w:val="000000"/>
        </w:rPr>
        <w:t xml:space="preserve">historical </w:t>
      </w:r>
      <w:r w:rsidRPr="000A6D30">
        <w:rPr>
          <w:color w:val="000000"/>
        </w:rPr>
        <w:t xml:space="preserve">moments may be more or less sensitive to disability as a </w:t>
      </w:r>
      <w:r w:rsidRPr="000A6D30">
        <w:rPr>
          <w:i/>
          <w:color w:val="000000"/>
        </w:rPr>
        <w:t>social</w:t>
      </w:r>
      <w:r w:rsidRPr="000A6D30">
        <w:rPr>
          <w:color w:val="000000"/>
        </w:rPr>
        <w:t xml:space="preserve"> entity, and more or less inclined to utilize disability as a sustained metaphorical device. As </w:t>
      </w:r>
      <w:proofErr w:type="spellStart"/>
      <w:r w:rsidRPr="000A6D30">
        <w:rPr>
          <w:color w:val="000000"/>
        </w:rPr>
        <w:t>McRuer</w:t>
      </w:r>
      <w:proofErr w:type="spellEnd"/>
      <w:r w:rsidRPr="000A6D30">
        <w:rPr>
          <w:color w:val="000000"/>
        </w:rPr>
        <w:t xml:space="preserve"> cogently warns, “There is no guarantee that even the most foundational disability studies theses will function in the same way when we talk about global bodies” (p. 201).</w:t>
      </w:r>
    </w:p>
    <w:p w:rsidR="00303BE1" w:rsidRDefault="00303BE1" w:rsidP="00303BE1">
      <w:pPr>
        <w:ind w:firstLine="431"/>
        <w:rPr>
          <w:color w:val="000000"/>
        </w:rPr>
      </w:pPr>
    </w:p>
    <w:p w:rsidR="00303BE1" w:rsidRPr="000A6D30" w:rsidRDefault="00303BE1" w:rsidP="00303BE1">
      <w:pPr>
        <w:jc w:val="center"/>
        <w:rPr>
          <w:color w:val="000000"/>
        </w:rPr>
      </w:pPr>
      <w:r>
        <w:rPr>
          <w:color w:val="000000"/>
        </w:rPr>
        <w:t>Postcolonial Endings: Sentimentality and Narrative Closure</w:t>
      </w:r>
    </w:p>
    <w:p w:rsidR="00303BE1" w:rsidRPr="000A6D30" w:rsidRDefault="00303BE1" w:rsidP="00303BE1">
      <w:pPr>
        <w:rPr>
          <w:color w:val="000000"/>
        </w:rPr>
      </w:pPr>
    </w:p>
    <w:p w:rsidR="00303BE1" w:rsidRPr="000A6D30" w:rsidRDefault="00303BE1" w:rsidP="00303BE1">
      <w:pPr>
        <w:ind w:firstLine="720"/>
        <w:rPr>
          <w:color w:val="000000"/>
        </w:rPr>
      </w:pPr>
      <w:r>
        <w:rPr>
          <w:color w:val="000000"/>
        </w:rPr>
        <w:lastRenderedPageBreak/>
        <w:t>One</w:t>
      </w:r>
      <w:r w:rsidRPr="000A6D30">
        <w:rPr>
          <w:color w:val="000000"/>
        </w:rPr>
        <w:t xml:space="preserve"> way in which postcolonial literary representations </w:t>
      </w:r>
      <w:r>
        <w:rPr>
          <w:color w:val="000000"/>
        </w:rPr>
        <w:t>often</w:t>
      </w:r>
      <w:r w:rsidRPr="000A6D30">
        <w:rPr>
          <w:color w:val="000000"/>
        </w:rPr>
        <w:t xml:space="preserve"> differ from the canonical English and American texts discussed in </w:t>
      </w:r>
      <w:r>
        <w:rPr>
          <w:color w:val="000000"/>
        </w:rPr>
        <w:t xml:space="preserve">current </w:t>
      </w:r>
      <w:r w:rsidRPr="000A6D30">
        <w:rPr>
          <w:color w:val="000000"/>
        </w:rPr>
        <w:t>disability theory regards the function of sentimentality. Mitchell and Snyder (2000) have commented that “[s]</w:t>
      </w:r>
      <w:proofErr w:type="spellStart"/>
      <w:r w:rsidRPr="000A6D30">
        <w:rPr>
          <w:color w:val="000000"/>
        </w:rPr>
        <w:t>entimental</w:t>
      </w:r>
      <w:proofErr w:type="spellEnd"/>
      <w:r w:rsidRPr="000A6D30">
        <w:rPr>
          <w:color w:val="000000"/>
        </w:rPr>
        <w:t xml:space="preserve"> plotlines […] offer impossible solutions by situating disability as </w:t>
      </w:r>
      <w:proofErr w:type="gramStart"/>
      <w:r w:rsidRPr="000A6D30">
        <w:rPr>
          <w:color w:val="000000"/>
        </w:rPr>
        <w:t>an</w:t>
      </w:r>
      <w:proofErr w:type="gramEnd"/>
      <w:r w:rsidRPr="000A6D30">
        <w:rPr>
          <w:color w:val="000000"/>
        </w:rPr>
        <w:t xml:space="preserve"> either/or condition forever hovering somewhere between tragic death or sudden </w:t>
      </w:r>
      <w:r>
        <w:rPr>
          <w:color w:val="000000"/>
        </w:rPr>
        <w:t>cure” (p. 169). The “cure”</w:t>
      </w:r>
      <w:r w:rsidRPr="000A6D30">
        <w:rPr>
          <w:color w:val="000000"/>
        </w:rPr>
        <w:t xml:space="preserve"> trajectory, marketed as a tale of triumph over adversity, explains the continued public interest in</w:t>
      </w:r>
      <w:r>
        <w:rPr>
          <w:color w:val="000000"/>
        </w:rPr>
        <w:t xml:space="preserve"> Ali </w:t>
      </w:r>
      <w:proofErr w:type="spellStart"/>
      <w:r>
        <w:rPr>
          <w:color w:val="000000"/>
        </w:rPr>
        <w:t>Abbas’s</w:t>
      </w:r>
      <w:proofErr w:type="spellEnd"/>
      <w:r>
        <w:rPr>
          <w:color w:val="000000"/>
        </w:rPr>
        <w:t xml:space="preserve"> rehabilitation;</w:t>
      </w:r>
      <w:r w:rsidRPr="000A6D30">
        <w:rPr>
          <w:color w:val="000000"/>
        </w:rPr>
        <w:t xml:space="preserve"> as a form of </w:t>
      </w:r>
      <w:r w:rsidRPr="000A6D30">
        <w:rPr>
          <w:i/>
          <w:color w:val="000000"/>
        </w:rPr>
        <w:t xml:space="preserve">strategic </w:t>
      </w:r>
      <w:r w:rsidRPr="000A6D30">
        <w:rPr>
          <w:color w:val="000000"/>
        </w:rPr>
        <w:t xml:space="preserve">sentimentality, it was manipulated to </w:t>
      </w:r>
      <w:r>
        <w:rPr>
          <w:color w:val="000000"/>
        </w:rPr>
        <w:t>galvanize</w:t>
      </w:r>
      <w:r w:rsidRPr="000A6D30">
        <w:rPr>
          <w:color w:val="000000"/>
        </w:rPr>
        <w:t xml:space="preserve"> an active response from the public. In contrast, according to Mitchell and Snyder’s literary model, fiction that relegates disabled characters to the status of plot resolution devices, excluding them from participation in </w:t>
      </w:r>
      <w:r>
        <w:rPr>
          <w:color w:val="000000"/>
        </w:rPr>
        <w:t xml:space="preserve">the projected social and </w:t>
      </w:r>
      <w:r w:rsidRPr="000A6D30">
        <w:rPr>
          <w:color w:val="000000"/>
        </w:rPr>
        <w:t xml:space="preserve">political </w:t>
      </w:r>
      <w:r>
        <w:rPr>
          <w:color w:val="000000"/>
        </w:rPr>
        <w:t>futures it depicts</w:t>
      </w:r>
      <w:r w:rsidRPr="000A6D30">
        <w:rPr>
          <w:color w:val="000000"/>
        </w:rPr>
        <w:t xml:space="preserve">, produces affective </w:t>
      </w:r>
      <w:r>
        <w:rPr>
          <w:color w:val="000000"/>
        </w:rPr>
        <w:t>responses from readers that aid</w:t>
      </w:r>
      <w:r w:rsidRPr="000A6D30">
        <w:rPr>
          <w:color w:val="000000"/>
        </w:rPr>
        <w:t xml:space="preserve"> narrative closure rather than intellectual engagement.</w:t>
      </w:r>
    </w:p>
    <w:p w:rsidR="00303BE1" w:rsidRPr="000A6D30" w:rsidRDefault="00303BE1" w:rsidP="00303BE1">
      <w:pPr>
        <w:rPr>
          <w:color w:val="000000"/>
        </w:rPr>
      </w:pPr>
    </w:p>
    <w:p w:rsidR="00303BE1" w:rsidRPr="000A6D30" w:rsidRDefault="00303BE1" w:rsidP="00303BE1">
      <w:pPr>
        <w:ind w:firstLine="720"/>
        <w:rPr>
          <w:color w:val="000000"/>
        </w:rPr>
      </w:pPr>
      <w:r w:rsidRPr="000A6D30">
        <w:rPr>
          <w:color w:val="000000"/>
        </w:rPr>
        <w:t xml:space="preserve">Contrary to this </w:t>
      </w:r>
      <w:proofErr w:type="gramStart"/>
      <w:r w:rsidRPr="000A6D30">
        <w:rPr>
          <w:color w:val="000000"/>
        </w:rPr>
        <w:t>effect,</w:t>
      </w:r>
      <w:proofErr w:type="gramEnd"/>
      <w:r w:rsidRPr="000A6D30">
        <w:rPr>
          <w:color w:val="000000"/>
        </w:rPr>
        <w:t xml:space="preserve"> and to the normalizing </w:t>
      </w:r>
      <w:proofErr w:type="spellStart"/>
      <w:r w:rsidRPr="000A6D30">
        <w:rPr>
          <w:color w:val="000000"/>
        </w:rPr>
        <w:t>telos</w:t>
      </w:r>
      <w:proofErr w:type="spellEnd"/>
      <w:r w:rsidRPr="000A6D30">
        <w:rPr>
          <w:color w:val="000000"/>
        </w:rPr>
        <w:t xml:space="preserve"> of conservative novels (Davis, 2002a), many postcolonial texts resist reductive or sentimental conclusions, even when they do end with the cure or death of a disabled character. This lack of sentimentality is often tied up with the materialist </w:t>
      </w:r>
      <w:r w:rsidRPr="00977DF2">
        <w:rPr>
          <w:color w:val="000000"/>
        </w:rPr>
        <w:t>postcolonial</w:t>
      </w:r>
      <w:r w:rsidRPr="000A6D30">
        <w:rPr>
          <w:color w:val="000000"/>
        </w:rPr>
        <w:t xml:space="preserve"> preoccupations of the texts, since the cultural struggles fictionalized may remain ongoing and unresolved. Postcolonial endings often negotiate ways of </w:t>
      </w:r>
      <w:r w:rsidRPr="000A6D30">
        <w:rPr>
          <w:i/>
          <w:color w:val="000000"/>
        </w:rPr>
        <w:t xml:space="preserve">caring </w:t>
      </w:r>
      <w:r w:rsidRPr="000A6D30">
        <w:rPr>
          <w:color w:val="000000"/>
        </w:rPr>
        <w:t>for permanently marginalized communities</w:t>
      </w:r>
      <w:r>
        <w:rPr>
          <w:color w:val="000000"/>
        </w:rPr>
        <w:t xml:space="preserve"> (Barker, 2008)</w:t>
      </w:r>
      <w:r w:rsidRPr="000A6D30">
        <w:rPr>
          <w:color w:val="000000"/>
        </w:rPr>
        <w:t xml:space="preserve">. Further, in many disabling postcolonial spaces (landmine-ridden Angola, for example), sheer numbers of disabled citizens make it illogical to understand disability sentimentally. Some postcolonial writers necessarily deal with disability as a material presence, negotiating a complex matrix of factors operating between the individual, history, society, and its often violent machinations. </w:t>
      </w:r>
      <w:proofErr w:type="gramStart"/>
      <w:r w:rsidRPr="000A6D30">
        <w:rPr>
          <w:color w:val="000000"/>
        </w:rPr>
        <w:t xml:space="preserve">As Davidson (2008) cautions, referencing Mitchell and Snyder, “There are cases in which a prosthesis is </w:t>
      </w:r>
      <w:r w:rsidRPr="000A6D30">
        <w:rPr>
          <w:i/>
          <w:color w:val="000000"/>
        </w:rPr>
        <w:t xml:space="preserve">still </w:t>
      </w:r>
      <w:r w:rsidRPr="000A6D30">
        <w:rPr>
          <w:color w:val="000000"/>
        </w:rPr>
        <w:t>a prosthesis.</w:t>
      </w:r>
      <w:proofErr w:type="gramEnd"/>
      <w:r w:rsidRPr="000A6D30">
        <w:rPr>
          <w:color w:val="000000"/>
        </w:rPr>
        <w:t xml:space="preserve"> […] </w:t>
      </w:r>
      <w:proofErr w:type="gramStart"/>
      <w:r w:rsidRPr="000A6D30">
        <w:rPr>
          <w:color w:val="000000"/>
        </w:rPr>
        <w:t>Regarded in a more globalized environment, the social meaning of both disability and narrative may have to be expanded” (p. 176).</w:t>
      </w:r>
      <w:proofErr w:type="gramEnd"/>
      <w:r w:rsidRPr="000A6D30">
        <w:rPr>
          <w:color w:val="000000"/>
        </w:rPr>
        <w:t xml:space="preserve"> Writers of postcolonial fiction may find it imperative to engage with disabled characters’ status as embodied subjects and </w:t>
      </w:r>
      <w:r w:rsidRPr="000A6D30">
        <w:rPr>
          <w:i/>
          <w:color w:val="000000"/>
        </w:rPr>
        <w:t xml:space="preserve">citizens </w:t>
      </w:r>
      <w:r w:rsidRPr="000A6D30">
        <w:rPr>
          <w:color w:val="000000"/>
        </w:rPr>
        <w:t>in their particular culture and nation; disability often participates in politicized discourses of community and belonging rather than sentimental narratives of pity.</w:t>
      </w:r>
    </w:p>
    <w:p w:rsidR="00303BE1" w:rsidRPr="000A6D30" w:rsidRDefault="00303BE1" w:rsidP="00303BE1">
      <w:pPr>
        <w:rPr>
          <w:color w:val="000000"/>
        </w:rPr>
      </w:pPr>
    </w:p>
    <w:p w:rsidR="00303BE1" w:rsidRPr="000A6D30" w:rsidRDefault="00303BE1" w:rsidP="00303BE1">
      <w:pPr>
        <w:ind w:firstLine="720"/>
        <w:rPr>
          <w:color w:val="000000"/>
        </w:rPr>
      </w:pPr>
      <w:r w:rsidRPr="000A6D30">
        <w:rPr>
          <w:color w:val="000000"/>
        </w:rPr>
        <w:t xml:space="preserve">Snyder and Mitchell (2006) have recently conceptualized a “cultural model of disability,” according to which “disability functions not as an identification of abnormality but rather as a tool of cultural diagnosis” (p. 12). In its current form, this model is diffuse and generic; although it usefully </w:t>
      </w:r>
      <w:proofErr w:type="spellStart"/>
      <w:r w:rsidRPr="000A6D30">
        <w:rPr>
          <w:color w:val="000000"/>
        </w:rPr>
        <w:t>reinscribes</w:t>
      </w:r>
      <w:proofErr w:type="spellEnd"/>
      <w:r w:rsidRPr="000A6D30">
        <w:rPr>
          <w:color w:val="000000"/>
        </w:rPr>
        <w:t xml:space="preserve"> the materiality of the </w:t>
      </w:r>
      <w:r w:rsidRPr="00B6481A">
        <w:rPr>
          <w:color w:val="000000"/>
        </w:rPr>
        <w:t>body</w:t>
      </w:r>
      <w:r w:rsidRPr="000A6D30">
        <w:rPr>
          <w:color w:val="000000"/>
        </w:rPr>
        <w:t>, addressing a weakness of the s</w:t>
      </w:r>
      <w:r>
        <w:rPr>
          <w:color w:val="000000"/>
        </w:rPr>
        <w:t>ocial model of disability, the “</w:t>
      </w:r>
      <w:r w:rsidRPr="000A6D30">
        <w:rPr>
          <w:color w:val="000000"/>
        </w:rPr>
        <w:t>culture</w:t>
      </w:r>
      <w:r>
        <w:rPr>
          <w:color w:val="000000"/>
        </w:rPr>
        <w:t>”</w:t>
      </w:r>
      <w:r w:rsidRPr="000A6D30">
        <w:rPr>
          <w:color w:val="000000"/>
        </w:rPr>
        <w:t xml:space="preserve"> it evokes is a catch-all network of experiences, ideas and practices surrounding disability, and is not articulated in any rigorous way. However, if diversified and particularized, the cultural model has a great deal of potential as a blueprint for </w:t>
      </w:r>
      <w:r w:rsidRPr="000A6D30">
        <w:rPr>
          <w:i/>
          <w:color w:val="000000"/>
        </w:rPr>
        <w:t xml:space="preserve">situated </w:t>
      </w:r>
      <w:r w:rsidRPr="000A6D30">
        <w:rPr>
          <w:color w:val="000000"/>
        </w:rPr>
        <w:t>disabil</w:t>
      </w:r>
      <w:r>
        <w:rPr>
          <w:color w:val="000000"/>
        </w:rPr>
        <w:t>ity theory</w:t>
      </w:r>
      <w:r w:rsidRPr="000A6D30">
        <w:rPr>
          <w:color w:val="000000"/>
        </w:rPr>
        <w:t xml:space="preserve"> as it emphasizes the specificity of different cultures’ approaches to the construction, politics and administration of disability. As an important part of this process of theorization, postcolonial literary texts can a</w:t>
      </w:r>
      <w:r>
        <w:rPr>
          <w:color w:val="000000"/>
        </w:rPr>
        <w:t>lert us to the multiplicity of “</w:t>
      </w:r>
      <w:r w:rsidRPr="000A6D30">
        <w:rPr>
          <w:color w:val="000000"/>
        </w:rPr>
        <w:t>cultural models</w:t>
      </w:r>
      <w:r>
        <w:rPr>
          <w:color w:val="000000"/>
        </w:rPr>
        <w:t>”</w:t>
      </w:r>
      <w:r w:rsidRPr="000A6D30">
        <w:rPr>
          <w:color w:val="000000"/>
        </w:rPr>
        <w:t xml:space="preserve"> that may be available, in fictional and discursive form, to enable disability studies to fill out its current absences and to address its western bias. Interdisciplinary reading practices should therefore be integral to the process of decolonizing disability studies. </w:t>
      </w:r>
    </w:p>
    <w:p w:rsidR="00303BE1" w:rsidRPr="000A6D30" w:rsidRDefault="00303BE1" w:rsidP="00303BE1">
      <w:pPr>
        <w:rPr>
          <w:color w:val="000000"/>
        </w:rPr>
      </w:pPr>
    </w:p>
    <w:p w:rsidR="00303BE1" w:rsidRPr="000A6D30" w:rsidRDefault="00303BE1" w:rsidP="00303BE1">
      <w:pPr>
        <w:jc w:val="center"/>
        <w:rPr>
          <w:color w:val="000000"/>
        </w:rPr>
      </w:pPr>
      <w:r w:rsidRPr="000A6D30">
        <w:rPr>
          <w:i/>
          <w:color w:val="000000"/>
        </w:rPr>
        <w:t>Midnight’s Children</w:t>
      </w:r>
      <w:r>
        <w:rPr>
          <w:color w:val="000000"/>
        </w:rPr>
        <w:t xml:space="preserve"> and Prosthetic National Allegory</w:t>
      </w:r>
    </w:p>
    <w:p w:rsidR="00303BE1" w:rsidRPr="000A6D30" w:rsidRDefault="00303BE1" w:rsidP="00303BE1">
      <w:pPr>
        <w:rPr>
          <w:color w:val="000000"/>
        </w:rPr>
      </w:pPr>
    </w:p>
    <w:p w:rsidR="00303BE1" w:rsidRPr="000A6D30" w:rsidRDefault="00303BE1" w:rsidP="00303BE1">
      <w:pPr>
        <w:ind w:firstLine="720"/>
        <w:rPr>
          <w:color w:val="000000"/>
        </w:rPr>
      </w:pPr>
      <w:r w:rsidRPr="000A6D30">
        <w:rPr>
          <w:color w:val="000000"/>
        </w:rPr>
        <w:lastRenderedPageBreak/>
        <w:t xml:space="preserve">To illustrate the benefits of interdisciplinary textual analysis I turn now to </w:t>
      </w:r>
      <w:r w:rsidRPr="000A6D30">
        <w:rPr>
          <w:i/>
          <w:color w:val="000000"/>
        </w:rPr>
        <w:t>Midnight’s Children</w:t>
      </w:r>
      <w:r w:rsidRPr="000A6D30">
        <w:rPr>
          <w:color w:val="000000"/>
        </w:rPr>
        <w:t>,</w:t>
      </w:r>
      <w:r w:rsidRPr="000A6D30">
        <w:rPr>
          <w:i/>
          <w:color w:val="000000"/>
        </w:rPr>
        <w:t xml:space="preserve"> </w:t>
      </w:r>
      <w:r w:rsidRPr="000A6D30">
        <w:rPr>
          <w:color w:val="000000"/>
        </w:rPr>
        <w:t xml:space="preserve">a text that is ideologically complex, generically ambiguous, and politically contradictory in its representations of disability. The protagonist and narrator of the novel, </w:t>
      </w:r>
      <w:proofErr w:type="spellStart"/>
      <w:r w:rsidRPr="000A6D30">
        <w:rPr>
          <w:color w:val="000000"/>
        </w:rPr>
        <w:t>Saleem</w:t>
      </w:r>
      <w:proofErr w:type="spellEnd"/>
      <w:r w:rsidRPr="000A6D30">
        <w:rPr>
          <w:color w:val="000000"/>
        </w:rPr>
        <w:t xml:space="preserve"> Sinai, is “handcuffed to history” due to his birth on the stroke of midnight, August 15, 1947, “the precise instant of India’s arrival at independence</w:t>
      </w:r>
      <w:proofErr w:type="gramStart"/>
      <w:r w:rsidRPr="000A6D30">
        <w:rPr>
          <w:color w:val="000000"/>
        </w:rPr>
        <w:t>”</w:t>
      </w:r>
      <w:proofErr w:type="gramEnd"/>
      <w:r w:rsidRPr="000A6D30">
        <w:rPr>
          <w:rStyle w:val="EndnoteReference"/>
          <w:rFonts w:eastAsia="SimSun"/>
          <w:color w:val="000000"/>
        </w:rPr>
        <w:t xml:space="preserve"> </w:t>
      </w:r>
      <w:r w:rsidRPr="000A6D30">
        <w:rPr>
          <w:color w:val="000000"/>
        </w:rPr>
        <w:t xml:space="preserve">(Rushdie, 1995, p. 9), making this a classic example of postcolonial national allegory. </w:t>
      </w:r>
      <w:r w:rsidRPr="00FD1047">
        <w:rPr>
          <w:color w:val="000000"/>
        </w:rPr>
        <w:t>According to the novel’s magical realist logic,</w:t>
      </w:r>
      <w:r>
        <w:rPr>
          <w:color w:val="000000"/>
        </w:rPr>
        <w:t xml:space="preserve"> this historic moment of birth endows</w:t>
      </w:r>
      <w:r w:rsidRPr="000A6D30">
        <w:rPr>
          <w:color w:val="000000"/>
        </w:rPr>
        <w:t xml:space="preserve"> </w:t>
      </w:r>
      <w:proofErr w:type="spellStart"/>
      <w:r w:rsidRPr="000A6D30">
        <w:rPr>
          <w:color w:val="000000"/>
        </w:rPr>
        <w:t>Saleem</w:t>
      </w:r>
      <w:proofErr w:type="spellEnd"/>
      <w:r w:rsidRPr="000A6D30">
        <w:rPr>
          <w:color w:val="000000"/>
        </w:rPr>
        <w:t xml:space="preserve"> and a thousand others – the eponymous midnight’s children – </w:t>
      </w:r>
      <w:r>
        <w:rPr>
          <w:color w:val="000000"/>
        </w:rPr>
        <w:t>with</w:t>
      </w:r>
      <w:r w:rsidRPr="000A6D30">
        <w:rPr>
          <w:color w:val="000000"/>
        </w:rPr>
        <w:t xml:space="preserve"> fantastic forms of embodied or cognitive difference, </w:t>
      </w:r>
      <w:r>
        <w:rPr>
          <w:color w:val="000000"/>
        </w:rPr>
        <w:t>which</w:t>
      </w:r>
      <w:r w:rsidRPr="000A6D30">
        <w:rPr>
          <w:color w:val="000000"/>
        </w:rPr>
        <w:t xml:space="preserve"> are identified explicitly with the Indian nation’s exceptionality and </w:t>
      </w:r>
      <w:r>
        <w:rPr>
          <w:color w:val="000000"/>
        </w:rPr>
        <w:t xml:space="preserve">potential </w:t>
      </w:r>
      <w:r w:rsidRPr="000A6D30">
        <w:rPr>
          <w:color w:val="000000"/>
        </w:rPr>
        <w:t xml:space="preserve">development. </w:t>
      </w:r>
      <w:proofErr w:type="spellStart"/>
      <w:r w:rsidRPr="000A6D30">
        <w:rPr>
          <w:color w:val="000000"/>
        </w:rPr>
        <w:t>Saleem</w:t>
      </w:r>
      <w:proofErr w:type="spellEnd"/>
      <w:r w:rsidRPr="000A6D30">
        <w:rPr>
          <w:color w:val="000000"/>
        </w:rPr>
        <w:t xml:space="preserve"> is born with telepathic ability and with various impairments of function and appearance (no sense of smell, facial birthmarks and an unusually shaped face and nose). He is disabled further as the text progresses, </w:t>
      </w:r>
      <w:r>
        <w:rPr>
          <w:color w:val="000000"/>
        </w:rPr>
        <w:t xml:space="preserve">often </w:t>
      </w:r>
      <w:r w:rsidRPr="000A6D30">
        <w:rPr>
          <w:color w:val="000000"/>
        </w:rPr>
        <w:t xml:space="preserve">in tandem with “disabling” national events: he develops bandy legs; loses the hearing of one ear; loses a finger; and becomes bald as a child. An operation to drain his inflamed sinuses leaves him with an exceptionally keen sense of smell but deprives him of his telepathic powers; he loses his memory for a number of years; and, as an adult, is castrated by State representatives during the family planning drive of the National Emergency of 1975 to </w:t>
      </w:r>
      <w:r w:rsidRPr="005A60D6">
        <w:rPr>
          <w:color w:val="000000"/>
        </w:rPr>
        <w:t>1977</w:t>
      </w:r>
      <w:r w:rsidRPr="000A6D30">
        <w:rPr>
          <w:color w:val="000000"/>
        </w:rPr>
        <w:t>.</w:t>
      </w:r>
      <w:r w:rsidRPr="005A60D6">
        <w:rPr>
          <w:rFonts w:eastAsia="SimSun"/>
          <w:color w:val="000000"/>
          <w:vertAlign w:val="superscript"/>
        </w:rPr>
        <w:t>4</w:t>
      </w:r>
    </w:p>
    <w:p w:rsidR="00303BE1" w:rsidRPr="000A6D30" w:rsidRDefault="00303BE1" w:rsidP="00303BE1">
      <w:pPr>
        <w:rPr>
          <w:color w:val="000000"/>
        </w:rPr>
      </w:pPr>
    </w:p>
    <w:p w:rsidR="00303BE1" w:rsidRDefault="00303BE1" w:rsidP="00303BE1">
      <w:pPr>
        <w:ind w:firstLine="720"/>
        <w:rPr>
          <w:color w:val="000000"/>
        </w:rPr>
      </w:pPr>
      <w:r w:rsidRPr="000A6D30">
        <w:rPr>
          <w:color w:val="000000"/>
        </w:rPr>
        <w:t xml:space="preserve">Throughout the text, </w:t>
      </w:r>
      <w:proofErr w:type="spellStart"/>
      <w:r w:rsidRPr="000A6D30">
        <w:rPr>
          <w:color w:val="000000"/>
        </w:rPr>
        <w:t>Saleem</w:t>
      </w:r>
      <w:proofErr w:type="spellEnd"/>
      <w:r w:rsidRPr="000A6D30">
        <w:rPr>
          <w:color w:val="000000"/>
        </w:rPr>
        <w:t xml:space="preserve"> the adult narrator is convinced that his body is fragmenting, reflecting the breakdown of the</w:t>
      </w:r>
      <w:r>
        <w:rPr>
          <w:color w:val="000000"/>
        </w:rPr>
        <w:t xml:space="preserve"> nascent</w:t>
      </w:r>
      <w:r w:rsidRPr="000A6D30">
        <w:rPr>
          <w:color w:val="000000"/>
        </w:rPr>
        <w:t xml:space="preserve"> ideals of </w:t>
      </w:r>
      <w:r>
        <w:rPr>
          <w:color w:val="000000"/>
        </w:rPr>
        <w:t>independent India</w:t>
      </w:r>
      <w:r w:rsidRPr="000A6D30">
        <w:rPr>
          <w:color w:val="000000"/>
        </w:rPr>
        <w:t xml:space="preserve"> and exemplifying what seems to be a straightforwardly prosthetic disability </w:t>
      </w:r>
      <w:r>
        <w:rPr>
          <w:color w:val="000000"/>
        </w:rPr>
        <w:t>narrative</w:t>
      </w:r>
      <w:r w:rsidRPr="000A6D30">
        <w:rPr>
          <w:color w:val="000000"/>
        </w:rPr>
        <w:t xml:space="preserve">. Indeed, Rushdie sets up very clear relationships between </w:t>
      </w:r>
      <w:proofErr w:type="spellStart"/>
      <w:r w:rsidRPr="000A6D30">
        <w:rPr>
          <w:color w:val="000000"/>
        </w:rPr>
        <w:t>Saleem’s</w:t>
      </w:r>
      <w:proofErr w:type="spellEnd"/>
      <w:r w:rsidRPr="000A6D30">
        <w:rPr>
          <w:color w:val="000000"/>
        </w:rPr>
        <w:t xml:space="preserve"> body and the new nation: his face resembles a map of India, for example, with birthmarks in the place of Pakistan, so that the newly partitioned Islamic state is described as a stain on the face of India. The body is</w:t>
      </w:r>
      <w:r>
        <w:rPr>
          <w:color w:val="000000"/>
        </w:rPr>
        <w:t xml:space="preserve"> therefore</w:t>
      </w:r>
      <w:r w:rsidRPr="000A6D30">
        <w:rPr>
          <w:color w:val="000000"/>
        </w:rPr>
        <w:t xml:space="preserve"> central to </w:t>
      </w:r>
      <w:proofErr w:type="spellStart"/>
      <w:r w:rsidRPr="000A6D30">
        <w:rPr>
          <w:color w:val="000000"/>
        </w:rPr>
        <w:t>Saleem’s</w:t>
      </w:r>
      <w:proofErr w:type="spellEnd"/>
      <w:r w:rsidRPr="000A6D30">
        <w:rPr>
          <w:color w:val="000000"/>
        </w:rPr>
        <w:t xml:space="preserve"> </w:t>
      </w:r>
      <w:r>
        <w:rPr>
          <w:color w:val="000000"/>
        </w:rPr>
        <w:t>story</w:t>
      </w:r>
      <w:r w:rsidRPr="000A6D30">
        <w:rPr>
          <w:color w:val="000000"/>
        </w:rPr>
        <w:t xml:space="preserve"> of postcolonial national development. He writes, “[u]</w:t>
      </w:r>
      <w:proofErr w:type="spellStart"/>
      <w:r w:rsidRPr="000A6D30">
        <w:rPr>
          <w:color w:val="000000"/>
        </w:rPr>
        <w:t>ncork</w:t>
      </w:r>
      <w:proofErr w:type="spellEnd"/>
      <w:r w:rsidRPr="000A6D30">
        <w:rPr>
          <w:color w:val="000000"/>
        </w:rPr>
        <w:t xml:space="preserve"> the body, and God knows what you permit to come tumbling out” (p. 237). This “uncorking” is associated with “revolutionary” effects (p. 237), indicating the transformative potential of the unruly body in the novel. Despite the overtly prosthetic nature of the analogy between disabled body and damaged nation, the continuing bodily metamorphoses of </w:t>
      </w:r>
      <w:proofErr w:type="spellStart"/>
      <w:r w:rsidRPr="000A6D30">
        <w:rPr>
          <w:color w:val="000000"/>
        </w:rPr>
        <w:t>Saleem</w:t>
      </w:r>
      <w:proofErr w:type="spellEnd"/>
      <w:r w:rsidRPr="000A6D30">
        <w:rPr>
          <w:color w:val="000000"/>
        </w:rPr>
        <w:t xml:space="preserve"> and the children prove to be “revolutionary” textual devices, as they enable Rushdie to critique the nation-state’s treatment of difference within its borders and citizenry.</w:t>
      </w:r>
    </w:p>
    <w:p w:rsidR="00303BE1" w:rsidRDefault="00303BE1" w:rsidP="00303BE1">
      <w:pPr>
        <w:rPr>
          <w:color w:val="000000"/>
        </w:rPr>
      </w:pPr>
    </w:p>
    <w:p w:rsidR="00303BE1" w:rsidRPr="000A6D30" w:rsidRDefault="00303BE1" w:rsidP="00303BE1">
      <w:pPr>
        <w:jc w:val="center"/>
        <w:rPr>
          <w:color w:val="000000"/>
        </w:rPr>
      </w:pPr>
      <w:r>
        <w:rPr>
          <w:color w:val="000000"/>
        </w:rPr>
        <w:t xml:space="preserve">The Politics of Postcolonial </w:t>
      </w:r>
      <w:proofErr w:type="spellStart"/>
      <w:r>
        <w:rPr>
          <w:color w:val="000000"/>
        </w:rPr>
        <w:t>Freakery</w:t>
      </w:r>
      <w:proofErr w:type="spellEnd"/>
    </w:p>
    <w:p w:rsidR="00303BE1" w:rsidRPr="000A6D30" w:rsidRDefault="00303BE1" w:rsidP="00303BE1">
      <w:pPr>
        <w:rPr>
          <w:color w:val="000000"/>
        </w:rPr>
      </w:pPr>
    </w:p>
    <w:p w:rsidR="00303BE1" w:rsidRPr="000A6D30" w:rsidRDefault="00303BE1" w:rsidP="00303BE1">
      <w:pPr>
        <w:ind w:firstLine="720"/>
        <w:rPr>
          <w:color w:val="000000"/>
        </w:rPr>
      </w:pPr>
      <w:r w:rsidRPr="000A6D30">
        <w:rPr>
          <w:color w:val="000000"/>
        </w:rPr>
        <w:t>The midnight’s children are described variously as “miraculous” (p. 195), “fabulous beings” (p. 197), “freak kids” (p. 221) and “monsters” (p. 434). Their (</w:t>
      </w:r>
      <w:proofErr w:type="spellStart"/>
      <w:r w:rsidRPr="000A6D30">
        <w:rPr>
          <w:color w:val="000000"/>
        </w:rPr>
        <w:t>dis</w:t>
      </w:r>
      <w:proofErr w:type="spellEnd"/>
      <w:r w:rsidRPr="000A6D30">
        <w:rPr>
          <w:color w:val="000000"/>
        </w:rPr>
        <w:t xml:space="preserve">)abilities range from </w:t>
      </w:r>
      <w:proofErr w:type="spellStart"/>
      <w:r w:rsidRPr="000A6D30">
        <w:rPr>
          <w:color w:val="000000"/>
        </w:rPr>
        <w:t>supernormative</w:t>
      </w:r>
      <w:proofErr w:type="spellEnd"/>
      <w:r w:rsidRPr="000A6D30">
        <w:rPr>
          <w:color w:val="000000"/>
        </w:rPr>
        <w:t xml:space="preserve"> skills of time travel, flight and lycanthropy to those who are “little more than circus </w:t>
      </w:r>
      <w:r w:rsidRPr="000A6D30">
        <w:rPr>
          <w:bCs/>
          <w:color w:val="000000"/>
        </w:rPr>
        <w:t>freaks</w:t>
      </w:r>
      <w:r w:rsidRPr="000A6D30">
        <w:rPr>
          <w:color w:val="000000"/>
        </w:rPr>
        <w:t xml:space="preserve">: bearded girls, a boy with the fully-operative gills of a freshwater </w:t>
      </w:r>
      <w:proofErr w:type="spellStart"/>
      <w:r w:rsidRPr="000A6D30">
        <w:rPr>
          <w:color w:val="000000"/>
        </w:rPr>
        <w:t>mahaseer</w:t>
      </w:r>
      <w:proofErr w:type="spellEnd"/>
      <w:r w:rsidRPr="000A6D30">
        <w:rPr>
          <w:color w:val="000000"/>
        </w:rPr>
        <w:t xml:space="preserve"> trout, Siamese twins with two bodies dangling off a single head and neck” (p. 198). Rushdie taps into freak discourses that have been widely theorized within disability studies. Rosemarie Garland-Thomson (</w:t>
      </w:r>
      <w:r>
        <w:rPr>
          <w:color w:val="000000"/>
        </w:rPr>
        <w:t>1997</w:t>
      </w:r>
      <w:r w:rsidRPr="000A6D30">
        <w:rPr>
          <w:color w:val="000000"/>
        </w:rPr>
        <w:t>) explains how, in the “</w:t>
      </w:r>
      <w:proofErr w:type="spellStart"/>
      <w:r w:rsidRPr="000A6D30">
        <w:rPr>
          <w:color w:val="000000"/>
        </w:rPr>
        <w:t>liminal</w:t>
      </w:r>
      <w:proofErr w:type="spellEnd"/>
      <w:r w:rsidRPr="000A6D30">
        <w:rPr>
          <w:color w:val="000000"/>
        </w:rPr>
        <w:t xml:space="preserve"> space” of the freak show, “The domesticated freak simultaneously embodied exceptionality as marvel and exceptionality as anomaly, thus posing to the spectator the implicit political question of how to interpret differences within an egalitarian social order” (p. 17). In </w:t>
      </w:r>
      <w:r w:rsidRPr="000A6D30">
        <w:rPr>
          <w:i/>
          <w:color w:val="000000"/>
        </w:rPr>
        <w:t>Midnight’s Children</w:t>
      </w:r>
      <w:r w:rsidRPr="000A6D30">
        <w:rPr>
          <w:color w:val="000000"/>
        </w:rPr>
        <w:t>,</w:t>
      </w:r>
      <w:r w:rsidRPr="000A6D30">
        <w:rPr>
          <w:i/>
          <w:color w:val="000000"/>
        </w:rPr>
        <w:t xml:space="preserve"> </w:t>
      </w:r>
      <w:r w:rsidRPr="000A6D30">
        <w:rPr>
          <w:color w:val="000000"/>
        </w:rPr>
        <w:t xml:space="preserve">the presence of the children generates the question of how to interpret difference within the newly </w:t>
      </w:r>
      <w:r w:rsidRPr="00977DF2">
        <w:rPr>
          <w:color w:val="000000"/>
        </w:rPr>
        <w:t>postcolonial</w:t>
      </w:r>
      <w:r w:rsidRPr="000A6D30">
        <w:rPr>
          <w:color w:val="000000"/>
        </w:rPr>
        <w:t xml:space="preserve"> nation-space, and thus engages </w:t>
      </w:r>
      <w:r w:rsidRPr="000A6D30">
        <w:rPr>
          <w:color w:val="000000"/>
        </w:rPr>
        <w:lastRenderedPageBreak/>
        <w:t>directly with Rushdie’s primary concern – the exploration of postcolonial Indian identities and politics.</w:t>
      </w:r>
    </w:p>
    <w:p w:rsidR="00303BE1" w:rsidRPr="000A6D30" w:rsidRDefault="00303BE1" w:rsidP="00303BE1">
      <w:pPr>
        <w:rPr>
          <w:color w:val="000000"/>
        </w:rPr>
      </w:pPr>
    </w:p>
    <w:p w:rsidR="00303BE1" w:rsidRPr="000A6D30" w:rsidRDefault="00303BE1" w:rsidP="00303BE1">
      <w:pPr>
        <w:ind w:firstLine="720"/>
        <w:rPr>
          <w:color w:val="000000"/>
        </w:rPr>
      </w:pPr>
      <w:r w:rsidRPr="000A6D30">
        <w:rPr>
          <w:color w:val="000000"/>
        </w:rPr>
        <w:t xml:space="preserve">Garland-Thomson (1997) suggests that people with non-normative </w:t>
      </w:r>
      <w:proofErr w:type="spellStart"/>
      <w:r w:rsidRPr="000A6D30">
        <w:rPr>
          <w:color w:val="000000"/>
        </w:rPr>
        <w:t>physicalities</w:t>
      </w:r>
      <w:proofErr w:type="spellEnd"/>
      <w:r w:rsidRPr="000A6D30">
        <w:rPr>
          <w:color w:val="000000"/>
        </w:rPr>
        <w:t xml:space="preserve"> are granted a symbolic role within their cultures: “Such beings” become “magnets for the anxieties and ambitions of their times” (p. 70). In line with this, the children function as receptacles for India’s unease regarding its self-definition:</w:t>
      </w:r>
    </w:p>
    <w:p w:rsidR="00303BE1" w:rsidRPr="000A6D30" w:rsidRDefault="00303BE1" w:rsidP="00303BE1">
      <w:pPr>
        <w:rPr>
          <w:color w:val="000000"/>
        </w:rPr>
      </w:pPr>
    </w:p>
    <w:p w:rsidR="00303BE1" w:rsidRPr="000A6D30" w:rsidRDefault="00303BE1" w:rsidP="00303BE1">
      <w:pPr>
        <w:pStyle w:val="prosequotation"/>
        <w:spacing w:before="0" w:after="120"/>
        <w:ind w:right="0"/>
        <w:jc w:val="left"/>
        <w:rPr>
          <w:color w:val="000000"/>
          <w:szCs w:val="24"/>
        </w:rPr>
      </w:pPr>
      <w:r>
        <w:rPr>
          <w:color w:val="000000"/>
          <w:szCs w:val="24"/>
        </w:rPr>
        <w:t>“</w:t>
      </w:r>
      <w:r w:rsidRPr="000A6D30">
        <w:rPr>
          <w:color w:val="000000"/>
          <w:szCs w:val="24"/>
        </w:rPr>
        <w:t>Midnight’s children can be made to represent many things, according to your point of view: they can be seen as the last throw of everything antiquated and retrogressive in our myth-ridden nation, whose defeat was entirely desirable in the context of a modernizing, twentieth-century economy; or as the true hope of freedom, which is now forever extinguished</w:t>
      </w:r>
      <w:r>
        <w:rPr>
          <w:color w:val="000000"/>
          <w:szCs w:val="24"/>
        </w:rPr>
        <w:t>”</w:t>
      </w:r>
      <w:r w:rsidRPr="000A6D30">
        <w:rPr>
          <w:color w:val="000000"/>
          <w:szCs w:val="24"/>
        </w:rPr>
        <w:t xml:space="preserve"> (</w:t>
      </w:r>
      <w:r>
        <w:rPr>
          <w:color w:val="000000"/>
          <w:szCs w:val="24"/>
        </w:rPr>
        <w:t xml:space="preserve">Rushdie, 1995, </w:t>
      </w:r>
      <w:r w:rsidRPr="000A6D30">
        <w:rPr>
          <w:color w:val="000000"/>
          <w:szCs w:val="24"/>
        </w:rPr>
        <w:t>p. 200).</w:t>
      </w:r>
    </w:p>
    <w:p w:rsidR="00303BE1" w:rsidRPr="000A6D30" w:rsidRDefault="00303BE1" w:rsidP="00303BE1">
      <w:pPr>
        <w:spacing w:before="120"/>
        <w:rPr>
          <w:color w:val="000000"/>
        </w:rPr>
      </w:pPr>
      <w:r w:rsidRPr="000A6D30">
        <w:rPr>
          <w:color w:val="000000"/>
        </w:rPr>
        <w:t xml:space="preserve">The children are placed at the centre of debates surrounding national identity in the transitional period between colonialism and </w:t>
      </w:r>
      <w:proofErr w:type="spellStart"/>
      <w:r w:rsidRPr="000A6D30">
        <w:rPr>
          <w:color w:val="000000"/>
        </w:rPr>
        <w:t>postcolonialism</w:t>
      </w:r>
      <w:proofErr w:type="spellEnd"/>
      <w:r w:rsidRPr="000A6D30">
        <w:rPr>
          <w:color w:val="000000"/>
        </w:rPr>
        <w:t xml:space="preserve">. In his </w:t>
      </w:r>
      <w:proofErr w:type="gramStart"/>
      <w:r w:rsidRPr="000A6D30">
        <w:rPr>
          <w:color w:val="000000"/>
        </w:rPr>
        <w:t xml:space="preserve">independence </w:t>
      </w:r>
      <w:r>
        <w:rPr>
          <w:color w:val="000000"/>
        </w:rPr>
        <w:t>day</w:t>
      </w:r>
      <w:proofErr w:type="gramEnd"/>
      <w:r>
        <w:rPr>
          <w:color w:val="000000"/>
        </w:rPr>
        <w:t xml:space="preserve"> </w:t>
      </w:r>
      <w:r w:rsidRPr="000A6D30">
        <w:rPr>
          <w:color w:val="000000"/>
        </w:rPr>
        <w:t xml:space="preserve">speech, quoted in the novel, India’s first Prime Minister </w:t>
      </w:r>
      <w:r>
        <w:rPr>
          <w:color w:val="000000"/>
        </w:rPr>
        <w:t xml:space="preserve">Jawaharlal </w:t>
      </w:r>
      <w:r w:rsidRPr="000A6D30">
        <w:rPr>
          <w:color w:val="000000"/>
        </w:rPr>
        <w:t>Nehru promoted a vision of national inclusivity: “We have to build the noble mansion of free India, where all her children may dwell” (</w:t>
      </w:r>
      <w:r>
        <w:rPr>
          <w:color w:val="000000"/>
        </w:rPr>
        <w:t xml:space="preserve">Rushdie, 1995, </w:t>
      </w:r>
      <w:r w:rsidRPr="000A6D30">
        <w:rPr>
          <w:color w:val="000000"/>
        </w:rPr>
        <w:t xml:space="preserve">p. 118). Postcolonial criticism has been alert to </w:t>
      </w:r>
      <w:r w:rsidRPr="000A6D30">
        <w:rPr>
          <w:i/>
          <w:color w:val="000000"/>
        </w:rPr>
        <w:t>Midnight’s Children</w:t>
      </w:r>
      <w:r w:rsidRPr="000A6D30">
        <w:rPr>
          <w:color w:val="000000"/>
        </w:rPr>
        <w:t xml:space="preserve">’s engagement with the </w:t>
      </w:r>
      <w:proofErr w:type="spellStart"/>
      <w:r w:rsidRPr="000A6D30">
        <w:rPr>
          <w:color w:val="000000"/>
        </w:rPr>
        <w:t>Nehruvian</w:t>
      </w:r>
      <w:proofErr w:type="spellEnd"/>
      <w:r w:rsidRPr="000A6D30">
        <w:rPr>
          <w:color w:val="000000"/>
        </w:rPr>
        <w:t xml:space="preserve"> ideal of “unity</w:t>
      </w:r>
      <w:r w:rsidRPr="000A6D30">
        <w:rPr>
          <w:b/>
          <w:color w:val="000000"/>
        </w:rPr>
        <w:t xml:space="preserve"> </w:t>
      </w:r>
      <w:r w:rsidRPr="000A6D30">
        <w:rPr>
          <w:color w:val="000000"/>
        </w:rPr>
        <w:t xml:space="preserve">in diversity,” and has identified in the children an allegorical movement towards a celebratory demographic mapping of India’s diversity. In </w:t>
      </w:r>
      <w:proofErr w:type="spellStart"/>
      <w:r w:rsidRPr="000A6D30">
        <w:rPr>
          <w:color w:val="000000"/>
        </w:rPr>
        <w:t>Saleem’s</w:t>
      </w:r>
      <w:proofErr w:type="spellEnd"/>
      <w:r w:rsidRPr="000A6D30">
        <w:rPr>
          <w:color w:val="000000"/>
        </w:rPr>
        <w:t xml:space="preserve"> Midnight Children’s Conference, the nation is defined </w:t>
      </w:r>
      <w:r w:rsidRPr="000A6D30">
        <w:rPr>
          <w:i/>
          <w:iCs/>
          <w:color w:val="000000"/>
        </w:rPr>
        <w:t>in terms of</w:t>
      </w:r>
      <w:r w:rsidRPr="000A6D30">
        <w:rPr>
          <w:color w:val="000000"/>
        </w:rPr>
        <w:t xml:space="preserve"> its exceptional inhabitants and not in opposition to them. The children therefore embody the optimism of independence by challenging reductive or monolithic views of difference, validating the exceptional, and accessing the </w:t>
      </w:r>
      <w:r w:rsidRPr="000A6D30">
        <w:rPr>
          <w:i/>
          <w:color w:val="000000"/>
        </w:rPr>
        <w:t>potential</w:t>
      </w:r>
      <w:r w:rsidRPr="000A6D30">
        <w:rPr>
          <w:color w:val="000000"/>
        </w:rPr>
        <w:t xml:space="preserve"> of “unity in diversity” as a national ideology. Their </w:t>
      </w:r>
      <w:proofErr w:type="spellStart"/>
      <w:r w:rsidRPr="000A6D30">
        <w:rPr>
          <w:color w:val="000000"/>
        </w:rPr>
        <w:t>liminal</w:t>
      </w:r>
      <w:proofErr w:type="spellEnd"/>
      <w:r w:rsidRPr="000A6D30">
        <w:rPr>
          <w:color w:val="000000"/>
        </w:rPr>
        <w:t xml:space="preserve"> </w:t>
      </w:r>
      <w:proofErr w:type="spellStart"/>
      <w:r w:rsidRPr="000A6D30">
        <w:rPr>
          <w:color w:val="000000"/>
        </w:rPr>
        <w:t>ontologies</w:t>
      </w:r>
      <w:proofErr w:type="spellEnd"/>
      <w:r w:rsidRPr="000A6D30">
        <w:rPr>
          <w:color w:val="000000"/>
        </w:rPr>
        <w:t>, however, also gesture towards the practical constraints placed on difference precisely by Nehru’s id</w:t>
      </w:r>
      <w:r>
        <w:rPr>
          <w:color w:val="000000"/>
        </w:rPr>
        <w:t>ea of secular Indian modernity. A</w:t>
      </w:r>
      <w:r w:rsidRPr="000A6D30">
        <w:rPr>
          <w:color w:val="000000"/>
        </w:rPr>
        <w:t xml:space="preserve">s they remain unique but are subjected to surveillance, classification and </w:t>
      </w:r>
      <w:proofErr w:type="spellStart"/>
      <w:r w:rsidRPr="000A6D30">
        <w:rPr>
          <w:color w:val="000000"/>
        </w:rPr>
        <w:t>hierarchization</w:t>
      </w:r>
      <w:proofErr w:type="spellEnd"/>
      <w:r w:rsidRPr="000A6D30">
        <w:rPr>
          <w:color w:val="000000"/>
        </w:rPr>
        <w:t>, the children simultaneously embody “possibilities and also restrictions of possibility” (</w:t>
      </w:r>
      <w:r>
        <w:rPr>
          <w:color w:val="000000"/>
        </w:rPr>
        <w:t xml:space="preserve">Rushdie, 1995, </w:t>
      </w:r>
      <w:r w:rsidRPr="000A6D30">
        <w:rPr>
          <w:color w:val="000000"/>
        </w:rPr>
        <w:t>p. 108).</w:t>
      </w:r>
    </w:p>
    <w:p w:rsidR="00303BE1" w:rsidRPr="000A6D30" w:rsidRDefault="00303BE1" w:rsidP="00303BE1">
      <w:pPr>
        <w:spacing w:before="120"/>
        <w:rPr>
          <w:color w:val="000000"/>
        </w:rPr>
      </w:pPr>
    </w:p>
    <w:p w:rsidR="00303BE1" w:rsidRDefault="00303BE1" w:rsidP="00303BE1">
      <w:pPr>
        <w:ind w:firstLine="720"/>
        <w:rPr>
          <w:color w:val="000000"/>
        </w:rPr>
      </w:pPr>
      <w:r w:rsidRPr="000A6D30">
        <w:rPr>
          <w:color w:val="000000"/>
        </w:rPr>
        <w:t xml:space="preserve">A commentary on national citizenship is therefore played out through the children. Anita </w:t>
      </w:r>
      <w:proofErr w:type="spellStart"/>
      <w:r w:rsidRPr="000A6D30">
        <w:rPr>
          <w:color w:val="000000"/>
        </w:rPr>
        <w:t>Ghai</w:t>
      </w:r>
      <w:proofErr w:type="spellEnd"/>
      <w:r w:rsidRPr="000A6D30">
        <w:rPr>
          <w:color w:val="000000"/>
        </w:rPr>
        <w:t xml:space="preserve"> (2002) explains that in India</w:t>
      </w:r>
      <w:r>
        <w:rPr>
          <w:color w:val="000000"/>
        </w:rPr>
        <w:t xml:space="preserve"> (as elsewhere)</w:t>
      </w:r>
      <w:r w:rsidRPr="000A6D30">
        <w:rPr>
          <w:color w:val="000000"/>
        </w:rPr>
        <w:t xml:space="preserve">, “Historically, disabled people have been invisible, both physically and metaphorically” and that “disability represents horror and tragedy” (pp. 89-90). </w:t>
      </w:r>
      <w:proofErr w:type="spellStart"/>
      <w:r w:rsidRPr="000A6D30">
        <w:rPr>
          <w:color w:val="000000"/>
        </w:rPr>
        <w:t>Saleem</w:t>
      </w:r>
      <w:proofErr w:type="spellEnd"/>
      <w:r w:rsidRPr="000A6D30">
        <w:rPr>
          <w:color w:val="000000"/>
        </w:rPr>
        <w:t xml:space="preserve"> upholds this evaluation, describing India as “a country where any physical or mental peculiarity in a child is a source of deep family shame” (</w:t>
      </w:r>
      <w:r>
        <w:rPr>
          <w:color w:val="000000"/>
        </w:rPr>
        <w:t xml:space="preserve">Rushdie, 1995, </w:t>
      </w:r>
      <w:r w:rsidRPr="000A6D30">
        <w:rPr>
          <w:color w:val="000000"/>
        </w:rPr>
        <w:t xml:space="preserve">p. 169). </w:t>
      </w:r>
      <w:r>
        <w:rPr>
          <w:color w:val="000000"/>
        </w:rPr>
        <w:t xml:space="preserve">As a disabled child, </w:t>
      </w:r>
      <w:proofErr w:type="spellStart"/>
      <w:r w:rsidRPr="000A6D30">
        <w:rPr>
          <w:color w:val="000000"/>
        </w:rPr>
        <w:t>Saleem</w:t>
      </w:r>
      <w:proofErr w:type="spellEnd"/>
      <w:r w:rsidRPr="000A6D30">
        <w:rPr>
          <w:color w:val="000000"/>
        </w:rPr>
        <w:t xml:space="preserve"> negotiates discrimination and “restrictions of po</w:t>
      </w:r>
      <w:r>
        <w:rPr>
          <w:color w:val="000000"/>
        </w:rPr>
        <w:t xml:space="preserve">ssibility” in the social sphere. This means that despite its </w:t>
      </w:r>
      <w:proofErr w:type="spellStart"/>
      <w:r>
        <w:rPr>
          <w:color w:val="000000"/>
        </w:rPr>
        <w:t>fetishization</w:t>
      </w:r>
      <w:proofErr w:type="spellEnd"/>
      <w:r>
        <w:rPr>
          <w:color w:val="000000"/>
        </w:rPr>
        <w:t xml:space="preserve"> as a quintessential text of magical realism, </w:t>
      </w:r>
      <w:r>
        <w:rPr>
          <w:i/>
          <w:color w:val="000000"/>
        </w:rPr>
        <w:t>Midnight’s Children</w:t>
      </w:r>
      <w:r w:rsidRPr="000A6D30">
        <w:rPr>
          <w:color w:val="000000"/>
        </w:rPr>
        <w:t xml:space="preserve"> </w:t>
      </w:r>
      <w:r>
        <w:rPr>
          <w:color w:val="000000"/>
        </w:rPr>
        <w:t xml:space="preserve">also </w:t>
      </w:r>
      <w:r w:rsidRPr="000A6D30">
        <w:rPr>
          <w:color w:val="000000"/>
        </w:rPr>
        <w:t xml:space="preserve">provides a </w:t>
      </w:r>
      <w:r>
        <w:rPr>
          <w:color w:val="000000"/>
        </w:rPr>
        <w:t>social realist counterpoint to</w:t>
      </w:r>
      <w:r w:rsidRPr="000A6D30">
        <w:rPr>
          <w:color w:val="000000"/>
        </w:rPr>
        <w:t xml:space="preserve"> celebratory national discourse</w:t>
      </w:r>
      <w:r>
        <w:rPr>
          <w:color w:val="000000"/>
        </w:rPr>
        <w:t>s</w:t>
      </w:r>
      <w:r w:rsidRPr="000A6D30">
        <w:rPr>
          <w:color w:val="000000"/>
        </w:rPr>
        <w:t xml:space="preserve"> </w:t>
      </w:r>
      <w:r>
        <w:rPr>
          <w:color w:val="000000"/>
        </w:rPr>
        <w:t xml:space="preserve">of </w:t>
      </w:r>
      <w:proofErr w:type="spellStart"/>
      <w:r>
        <w:rPr>
          <w:color w:val="000000"/>
        </w:rPr>
        <w:t>freakery</w:t>
      </w:r>
      <w:proofErr w:type="spellEnd"/>
      <w:r>
        <w:rPr>
          <w:color w:val="000000"/>
        </w:rPr>
        <w:t xml:space="preserve">. </w:t>
      </w:r>
      <w:r w:rsidRPr="000A6D30">
        <w:rPr>
          <w:color w:val="000000"/>
        </w:rPr>
        <w:t>Rushdie utilizes disability metaphorically to critique the nation’s incapacity to deal with difference, but also</w:t>
      </w:r>
      <w:r w:rsidRPr="000A6D30">
        <w:rPr>
          <w:b/>
          <w:color w:val="000000"/>
        </w:rPr>
        <w:t xml:space="preserve"> </w:t>
      </w:r>
      <w:r w:rsidRPr="000A6D30">
        <w:rPr>
          <w:color w:val="000000"/>
        </w:rPr>
        <w:t>engages in material analysis of disability in its familial, social</w:t>
      </w:r>
      <w:r>
        <w:rPr>
          <w:color w:val="000000"/>
        </w:rPr>
        <w:t>,</w:t>
      </w:r>
      <w:r w:rsidRPr="000A6D30">
        <w:rPr>
          <w:color w:val="000000"/>
        </w:rPr>
        <w:t xml:space="preserve"> and national contexts. </w:t>
      </w:r>
    </w:p>
    <w:p w:rsidR="00303BE1" w:rsidRDefault="00303BE1" w:rsidP="00303BE1">
      <w:pPr>
        <w:ind w:firstLine="720"/>
        <w:rPr>
          <w:color w:val="000000"/>
        </w:rPr>
      </w:pPr>
    </w:p>
    <w:p w:rsidR="00303BE1" w:rsidRDefault="00303BE1" w:rsidP="00303BE1">
      <w:pPr>
        <w:ind w:firstLine="720"/>
        <w:rPr>
          <w:color w:val="000000"/>
        </w:rPr>
      </w:pPr>
      <w:r w:rsidRPr="000A6D30">
        <w:rPr>
          <w:color w:val="000000"/>
        </w:rPr>
        <w:t>Davis (2002b) discusses how, “For the formation of the modern nation-</w:t>
      </w:r>
      <w:proofErr w:type="gramStart"/>
      <w:r w:rsidRPr="000A6D30">
        <w:rPr>
          <w:color w:val="000000"/>
        </w:rPr>
        <w:t>state[</w:t>
      </w:r>
      <w:proofErr w:type="gramEnd"/>
      <w:r w:rsidRPr="000A6D30">
        <w:rPr>
          <w:color w:val="000000"/>
        </w:rPr>
        <w:t xml:space="preserve">,] […] bodies and bodily practices had to be standardized, homogenized, and normalized” (p. 101). This is certainly true </w:t>
      </w:r>
      <w:r>
        <w:rPr>
          <w:color w:val="000000"/>
        </w:rPr>
        <w:t xml:space="preserve">in the India </w:t>
      </w:r>
      <w:r w:rsidRPr="000A6D30">
        <w:rPr>
          <w:color w:val="000000"/>
        </w:rPr>
        <w:t xml:space="preserve">of </w:t>
      </w:r>
      <w:r w:rsidRPr="000A6D30">
        <w:rPr>
          <w:i/>
          <w:color w:val="000000"/>
        </w:rPr>
        <w:t>Midnight’s Children</w:t>
      </w:r>
      <w:r w:rsidRPr="000A6D30">
        <w:rPr>
          <w:color w:val="000000"/>
        </w:rPr>
        <w:t xml:space="preserve"> </w:t>
      </w:r>
      <w:r>
        <w:rPr>
          <w:color w:val="000000"/>
        </w:rPr>
        <w:t>where</w:t>
      </w:r>
      <w:r w:rsidRPr="000A6D30">
        <w:rPr>
          <w:color w:val="000000"/>
        </w:rPr>
        <w:t xml:space="preserve">, by virtue of their exceptionality, the children’s citizenship is continually placed under threat. </w:t>
      </w:r>
      <w:r>
        <w:rPr>
          <w:color w:val="000000"/>
        </w:rPr>
        <w:t>By the end of the text,</w:t>
      </w:r>
      <w:r w:rsidRPr="000A6D30">
        <w:rPr>
          <w:color w:val="000000"/>
        </w:rPr>
        <w:t xml:space="preserve"> </w:t>
      </w:r>
      <w:r>
        <w:rPr>
          <w:color w:val="000000"/>
        </w:rPr>
        <w:t>which depicts</w:t>
      </w:r>
      <w:r w:rsidRPr="000A6D30">
        <w:rPr>
          <w:color w:val="000000"/>
        </w:rPr>
        <w:t xml:space="preserve"> the Emergency’s suspension of civil liberties and imposition of strict disciplinary regimes, a </w:t>
      </w:r>
      <w:r w:rsidRPr="000A6D30">
        <w:rPr>
          <w:color w:val="000000"/>
        </w:rPr>
        <w:lastRenderedPageBreak/>
        <w:t>vocabulary of eugenics is mobilized to describe the children’s vulnerability as disabled citizens of a conformist state. They become “[m]</w:t>
      </w:r>
      <w:proofErr w:type="spellStart"/>
      <w:r w:rsidRPr="000A6D30">
        <w:rPr>
          <w:color w:val="000000"/>
        </w:rPr>
        <w:t>idnight’s</w:t>
      </w:r>
      <w:proofErr w:type="spellEnd"/>
      <w:r w:rsidRPr="000A6D30">
        <w:rPr>
          <w:color w:val="000000"/>
        </w:rPr>
        <w:t xml:space="preserve"> children: who may have been the embodiment of the hope of freedom, who may also have been freaks-who-ought-to-be-finished-off” (Rushdie, 1995</w:t>
      </w:r>
      <w:r>
        <w:rPr>
          <w:color w:val="000000"/>
        </w:rPr>
        <w:t xml:space="preserve">, </w:t>
      </w:r>
      <w:r w:rsidRPr="000A6D30">
        <w:rPr>
          <w:color w:val="000000"/>
        </w:rPr>
        <w:t xml:space="preserve">p. 304). </w:t>
      </w:r>
      <w:r>
        <w:rPr>
          <w:color w:val="000000"/>
        </w:rPr>
        <w:t xml:space="preserve"> </w:t>
      </w:r>
    </w:p>
    <w:p w:rsidR="00303BE1" w:rsidRDefault="00303BE1" w:rsidP="00303BE1">
      <w:pPr>
        <w:ind w:firstLine="720"/>
        <w:rPr>
          <w:color w:val="000000"/>
        </w:rPr>
      </w:pPr>
    </w:p>
    <w:p w:rsidR="00303BE1" w:rsidRDefault="00303BE1" w:rsidP="00303BE1">
      <w:pPr>
        <w:ind w:firstLine="720"/>
        <w:rPr>
          <w:color w:val="000000"/>
        </w:rPr>
      </w:pPr>
      <w:r>
        <w:rPr>
          <w:color w:val="000000"/>
        </w:rPr>
        <w:t xml:space="preserve">                               </w:t>
      </w:r>
      <w:r w:rsidRPr="000A6D30">
        <w:rPr>
          <w:color w:val="000000"/>
        </w:rPr>
        <w:t xml:space="preserve">The novel ends </w:t>
      </w:r>
      <w:r>
        <w:rPr>
          <w:color w:val="000000"/>
        </w:rPr>
        <w:t xml:space="preserve">ambiguously </w:t>
      </w:r>
      <w:r w:rsidRPr="000A6D30">
        <w:rPr>
          <w:color w:val="000000"/>
        </w:rPr>
        <w:t>with a</w:t>
      </w:r>
      <w:r>
        <w:rPr>
          <w:color w:val="000000"/>
        </w:rPr>
        <w:t>n</w:t>
      </w:r>
      <w:r w:rsidRPr="000A6D30">
        <w:rPr>
          <w:color w:val="000000"/>
        </w:rPr>
        <w:t xml:space="preserve"> image of </w:t>
      </w:r>
      <w:proofErr w:type="spellStart"/>
      <w:r w:rsidRPr="000A6D30">
        <w:rPr>
          <w:color w:val="000000"/>
        </w:rPr>
        <w:t>Saleem’s</w:t>
      </w:r>
      <w:proofErr w:type="spellEnd"/>
      <w:r>
        <w:rPr>
          <w:color w:val="000000"/>
        </w:rPr>
        <w:t xml:space="preserve"> </w:t>
      </w:r>
      <w:r w:rsidRPr="000A6D30">
        <w:rPr>
          <w:color w:val="000000"/>
        </w:rPr>
        <w:t xml:space="preserve">unruly, protesting body fragmenting and being absorbed into the heterogeneous crowd of India. Rushdie </w:t>
      </w:r>
      <w:r>
        <w:rPr>
          <w:color w:val="000000"/>
        </w:rPr>
        <w:t>therefore</w:t>
      </w:r>
      <w:r w:rsidRPr="000A6D30">
        <w:rPr>
          <w:color w:val="000000"/>
        </w:rPr>
        <w:t xml:space="preserve"> stakes a claim for a national identi</w:t>
      </w:r>
      <w:r>
        <w:rPr>
          <w:color w:val="000000"/>
        </w:rPr>
        <w:t xml:space="preserve">ty that incorporates impairment – </w:t>
      </w:r>
      <w:proofErr w:type="spellStart"/>
      <w:r>
        <w:rPr>
          <w:color w:val="000000"/>
        </w:rPr>
        <w:t>Saleem’s</w:t>
      </w:r>
      <w:proofErr w:type="spellEnd"/>
      <w:r>
        <w:rPr>
          <w:color w:val="000000"/>
        </w:rPr>
        <w:t xml:space="preserve"> disabled presence is projected past the novel’s conclusion – and yet this is fragile and circumscribed as </w:t>
      </w:r>
      <w:r>
        <w:rPr>
          <w:i/>
          <w:color w:val="000000"/>
        </w:rPr>
        <w:t xml:space="preserve">Midnight’s Children </w:t>
      </w:r>
      <w:r>
        <w:rPr>
          <w:color w:val="000000"/>
        </w:rPr>
        <w:t>resists closure, hovering somewhere between death and survival. The celebratory prosthetic narrative in which disability symbolizes “the true hope of freedom” is pitted against a hegemonic nationalist rhetoric of “cure”;</w:t>
      </w:r>
      <w:r w:rsidRPr="000A6D30">
        <w:rPr>
          <w:color w:val="000000"/>
        </w:rPr>
        <w:t xml:space="preserve"> normalcy </w:t>
      </w:r>
      <w:r>
        <w:rPr>
          <w:color w:val="000000"/>
        </w:rPr>
        <w:t xml:space="preserve">is posited </w:t>
      </w:r>
      <w:r w:rsidRPr="000A6D30">
        <w:rPr>
          <w:color w:val="000000"/>
        </w:rPr>
        <w:t xml:space="preserve">as </w:t>
      </w:r>
      <w:r>
        <w:rPr>
          <w:color w:val="000000"/>
        </w:rPr>
        <w:t>the unrealized but</w:t>
      </w:r>
      <w:r w:rsidRPr="000A6D30">
        <w:rPr>
          <w:color w:val="000000"/>
        </w:rPr>
        <w:t xml:space="preserve"> frightening </w:t>
      </w:r>
      <w:r>
        <w:rPr>
          <w:color w:val="000000"/>
        </w:rPr>
        <w:t>and rapidly crystallizing vision of a paranoid,</w:t>
      </w:r>
      <w:r w:rsidRPr="000A6D30">
        <w:rPr>
          <w:color w:val="000000"/>
        </w:rPr>
        <w:t xml:space="preserve"> power-hungry state.</w:t>
      </w:r>
    </w:p>
    <w:p w:rsidR="00303BE1" w:rsidRDefault="00303BE1" w:rsidP="00303BE1">
      <w:pPr>
        <w:rPr>
          <w:color w:val="000000"/>
        </w:rPr>
      </w:pPr>
    </w:p>
    <w:p w:rsidR="00303BE1" w:rsidRPr="000A6D30" w:rsidRDefault="00303BE1" w:rsidP="00303BE1">
      <w:pPr>
        <w:jc w:val="center"/>
        <w:rPr>
          <w:color w:val="000000"/>
        </w:rPr>
      </w:pPr>
      <w:r>
        <w:rPr>
          <w:color w:val="000000"/>
        </w:rPr>
        <w:t>Postcolonial Fiction: Testing the Limits of Interdisciplinary Analysis</w:t>
      </w:r>
    </w:p>
    <w:p w:rsidR="00303BE1" w:rsidRPr="000A6D30" w:rsidRDefault="00303BE1" w:rsidP="00303BE1">
      <w:pPr>
        <w:rPr>
          <w:color w:val="000000"/>
        </w:rPr>
      </w:pPr>
    </w:p>
    <w:p w:rsidR="00303BE1" w:rsidRPr="000A6D30" w:rsidRDefault="00303BE1" w:rsidP="00303BE1">
      <w:pPr>
        <w:ind w:firstLine="720"/>
        <w:rPr>
          <w:color w:val="000000"/>
        </w:rPr>
      </w:pPr>
      <w:r>
        <w:rPr>
          <w:color w:val="000000"/>
        </w:rPr>
        <w:t>As this strategic analysis highlights, r</w:t>
      </w:r>
      <w:r w:rsidRPr="000A6D30">
        <w:rPr>
          <w:color w:val="000000"/>
        </w:rPr>
        <w:t xml:space="preserve">eading </w:t>
      </w:r>
      <w:r w:rsidRPr="000A6D30">
        <w:rPr>
          <w:i/>
          <w:color w:val="000000"/>
        </w:rPr>
        <w:t xml:space="preserve">Midnight’s Children </w:t>
      </w:r>
      <w:r w:rsidRPr="000A6D30">
        <w:rPr>
          <w:color w:val="000000"/>
        </w:rPr>
        <w:t xml:space="preserve">with attention to disability theory and postcolonial critical methodologies reveals how Rushdie uses disability as a productive point of access to social and cultural </w:t>
      </w:r>
      <w:r w:rsidRPr="005A60D6">
        <w:rPr>
          <w:color w:val="000000"/>
        </w:rPr>
        <w:t>critique</w:t>
      </w:r>
      <w:r w:rsidRPr="000A6D30">
        <w:rPr>
          <w:color w:val="000000"/>
        </w:rPr>
        <w:t>.</w:t>
      </w:r>
      <w:r w:rsidRPr="005A60D6">
        <w:rPr>
          <w:rFonts w:eastAsia="SimSun"/>
          <w:color w:val="000000"/>
          <w:vertAlign w:val="superscript"/>
        </w:rPr>
        <w:t>5</w:t>
      </w:r>
      <w:r w:rsidRPr="000A6D30">
        <w:rPr>
          <w:color w:val="000000"/>
        </w:rPr>
        <w:t xml:space="preserve"> He does not simply reduce disability to the “opportunistic metaphoric device” (Mitchell, 2002, p. 15) of narrative</w:t>
      </w:r>
      <w:r>
        <w:rPr>
          <w:color w:val="000000"/>
        </w:rPr>
        <w:t xml:space="preserve"> prosthesis, but neither does his text comfortably fit</w:t>
      </w:r>
      <w:r w:rsidRPr="000A6D30">
        <w:rPr>
          <w:color w:val="000000"/>
        </w:rPr>
        <w:t xml:space="preserve"> the social model’s locus of discrimination and misrepresentation. Various strands of meaning are present in Rushdie’s engagements with disability – celebratory and oppressive, progressive and recidivist alike – and the metaphorical capacity of disability, when it is explored in material terms as well, only adds to the richness of its resonances. Disability </w:t>
      </w:r>
      <w:r w:rsidRPr="000A6D30">
        <w:rPr>
          <w:i/>
          <w:color w:val="000000"/>
        </w:rPr>
        <w:t xml:space="preserve">is </w:t>
      </w:r>
      <w:r w:rsidRPr="000A6D30">
        <w:rPr>
          <w:color w:val="000000"/>
        </w:rPr>
        <w:t xml:space="preserve">an aesthetic mechanism in this text, represented using conventions of </w:t>
      </w:r>
      <w:proofErr w:type="spellStart"/>
      <w:r w:rsidRPr="000A6D30">
        <w:rPr>
          <w:color w:val="000000"/>
        </w:rPr>
        <w:t>freakery</w:t>
      </w:r>
      <w:proofErr w:type="spellEnd"/>
      <w:r w:rsidRPr="000A6D30">
        <w:rPr>
          <w:color w:val="000000"/>
        </w:rPr>
        <w:t xml:space="preserve"> and the grotesque, and is </w:t>
      </w:r>
      <w:proofErr w:type="spellStart"/>
      <w:r>
        <w:rPr>
          <w:color w:val="000000"/>
        </w:rPr>
        <w:t>instrumentalized</w:t>
      </w:r>
      <w:proofErr w:type="spellEnd"/>
      <w:r>
        <w:rPr>
          <w:color w:val="000000"/>
        </w:rPr>
        <w:t xml:space="preserve"> to elucidate</w:t>
      </w:r>
      <w:r w:rsidRPr="000A6D30">
        <w:rPr>
          <w:color w:val="000000"/>
        </w:rPr>
        <w:t xml:space="preserve"> Rushdie’s more carefully articulated </w:t>
      </w:r>
      <w:r w:rsidRPr="000A6D30">
        <w:rPr>
          <w:i/>
          <w:color w:val="000000"/>
        </w:rPr>
        <w:t>postcolonial</w:t>
      </w:r>
      <w:r w:rsidRPr="000A6D30">
        <w:rPr>
          <w:color w:val="000000"/>
        </w:rPr>
        <w:t xml:space="preserve"> concerns. This does not mean, however, that it is definitively damaging. Indeed, texts like </w:t>
      </w:r>
      <w:r w:rsidRPr="000A6D30">
        <w:rPr>
          <w:i/>
          <w:color w:val="000000"/>
        </w:rPr>
        <w:t xml:space="preserve">Midnight’s Children </w:t>
      </w:r>
      <w:r w:rsidRPr="000A6D30">
        <w:rPr>
          <w:color w:val="000000"/>
        </w:rPr>
        <w:t>grant disability the opportunity to be as multiple, as complicated</w:t>
      </w:r>
      <w:r>
        <w:rPr>
          <w:color w:val="000000"/>
        </w:rPr>
        <w:t>,</w:t>
      </w:r>
      <w:r w:rsidRPr="000A6D30">
        <w:rPr>
          <w:color w:val="000000"/>
        </w:rPr>
        <w:t xml:space="preserve"> and as contradictory as any other aspect of identity. Rushdie’s novel represents a test case for contemporary literary disability studies because, although offering a prosthetic narrative, its culturally and historically specific engagements with disability ultimately exceed the scope of current models and theories.</w:t>
      </w:r>
    </w:p>
    <w:p w:rsidR="00303BE1" w:rsidRPr="000A6D30" w:rsidRDefault="00303BE1" w:rsidP="00303BE1">
      <w:pPr>
        <w:rPr>
          <w:color w:val="000000"/>
        </w:rPr>
      </w:pPr>
    </w:p>
    <w:p w:rsidR="00303BE1" w:rsidRDefault="00303BE1" w:rsidP="00303BE1">
      <w:pPr>
        <w:ind w:firstLine="720"/>
        <w:rPr>
          <w:color w:val="000000"/>
        </w:rPr>
      </w:pPr>
      <w:r w:rsidRPr="000A6D30">
        <w:rPr>
          <w:color w:val="000000"/>
        </w:rPr>
        <w:t>Dominant theories of literary disability tend to focus on the political shortcomings of representations at the exp</w:t>
      </w:r>
      <w:r>
        <w:rPr>
          <w:color w:val="000000"/>
        </w:rPr>
        <w:t>ense of their enabling features,</w:t>
      </w:r>
      <w:r w:rsidRPr="000A6D30">
        <w:rPr>
          <w:color w:val="000000"/>
        </w:rPr>
        <w:t xml:space="preserve"> on their appropriation of disability’s figurative capital rather than their materialist explorations of disability as an embodied social identity. </w:t>
      </w:r>
      <w:r>
        <w:rPr>
          <w:color w:val="000000"/>
        </w:rPr>
        <w:t>A</w:t>
      </w:r>
      <w:r w:rsidRPr="000A6D30">
        <w:rPr>
          <w:color w:val="000000"/>
        </w:rPr>
        <w:t>ccordingly</w:t>
      </w:r>
      <w:r>
        <w:rPr>
          <w:color w:val="000000"/>
        </w:rPr>
        <w:t>,</w:t>
      </w:r>
      <w:r w:rsidRPr="000A6D30">
        <w:rPr>
          <w:color w:val="000000"/>
        </w:rPr>
        <w:t xml:space="preserve"> </w:t>
      </w:r>
      <w:r>
        <w:rPr>
          <w:color w:val="000000"/>
        </w:rPr>
        <w:t>o</w:t>
      </w:r>
      <w:r w:rsidRPr="000A6D30">
        <w:rPr>
          <w:color w:val="000000"/>
        </w:rPr>
        <w:t xml:space="preserve">ur reading strategies need to be updated in order to reflect the variety and complexity of fictional representations, and interdisciplinary engagements </w:t>
      </w:r>
      <w:r>
        <w:rPr>
          <w:color w:val="000000"/>
        </w:rPr>
        <w:t xml:space="preserve">can </w:t>
      </w:r>
      <w:r w:rsidRPr="000A6D30">
        <w:rPr>
          <w:color w:val="000000"/>
        </w:rPr>
        <w:t xml:space="preserve">facilitate this process. In the case of </w:t>
      </w:r>
      <w:r w:rsidRPr="000A6D30">
        <w:rPr>
          <w:i/>
          <w:color w:val="000000"/>
        </w:rPr>
        <w:t>Midnight’s Children</w:t>
      </w:r>
      <w:r w:rsidRPr="000A6D30">
        <w:rPr>
          <w:color w:val="000000"/>
        </w:rPr>
        <w:t>,</w:t>
      </w:r>
      <w:r w:rsidRPr="000A6D30">
        <w:rPr>
          <w:i/>
          <w:color w:val="000000"/>
        </w:rPr>
        <w:t xml:space="preserve"> </w:t>
      </w:r>
      <w:r w:rsidRPr="000A6D30">
        <w:rPr>
          <w:color w:val="000000"/>
        </w:rPr>
        <w:t xml:space="preserve">postcolonial discourses of belonging and citizenship demonstrate the nuanced social contextualization of Rushdie’s disability representations. Likewise, literary disability studies perspectives expose the omissions within postcolonial analysis, according to which </w:t>
      </w:r>
      <w:proofErr w:type="spellStart"/>
      <w:r w:rsidRPr="000A6D30">
        <w:rPr>
          <w:color w:val="000000"/>
        </w:rPr>
        <w:t>Saleem</w:t>
      </w:r>
      <w:proofErr w:type="spellEnd"/>
      <w:r w:rsidRPr="000A6D30">
        <w:rPr>
          <w:color w:val="000000"/>
        </w:rPr>
        <w:t xml:space="preserve"> and the children are rarely identified as disabled. Writing about disability politics in India, </w:t>
      </w:r>
      <w:proofErr w:type="spellStart"/>
      <w:r w:rsidRPr="000A6D30">
        <w:rPr>
          <w:color w:val="000000"/>
        </w:rPr>
        <w:t>Ghai</w:t>
      </w:r>
      <w:proofErr w:type="spellEnd"/>
      <w:r w:rsidRPr="000A6D30">
        <w:rPr>
          <w:color w:val="000000"/>
        </w:rPr>
        <w:t xml:space="preserve"> (2002) suggests that “[p]</w:t>
      </w:r>
      <w:proofErr w:type="spellStart"/>
      <w:r w:rsidRPr="000A6D30">
        <w:rPr>
          <w:color w:val="000000"/>
        </w:rPr>
        <w:t>ost</w:t>
      </w:r>
      <w:proofErr w:type="spellEnd"/>
      <w:r w:rsidRPr="000A6D30">
        <w:rPr>
          <w:color w:val="000000"/>
        </w:rPr>
        <w:t xml:space="preserve">-colonialism can destabilize the totalizing tendencies of imported Western discourse. It brings the possibility of </w:t>
      </w:r>
      <w:proofErr w:type="spellStart"/>
      <w:r w:rsidRPr="000A6D30">
        <w:rPr>
          <w:color w:val="000000"/>
        </w:rPr>
        <w:t>problematizing</w:t>
      </w:r>
      <w:proofErr w:type="spellEnd"/>
      <w:r w:rsidRPr="000A6D30">
        <w:rPr>
          <w:color w:val="000000"/>
        </w:rPr>
        <w:t xml:space="preserve"> the norms of given cultural practices and a commitment to take responsibility for modifications that result from the </w:t>
      </w:r>
      <w:proofErr w:type="spellStart"/>
      <w:r w:rsidRPr="000A6D30">
        <w:rPr>
          <w:color w:val="000000"/>
        </w:rPr>
        <w:t>situatedness</w:t>
      </w:r>
      <w:proofErr w:type="spellEnd"/>
      <w:r w:rsidRPr="000A6D30">
        <w:rPr>
          <w:color w:val="000000"/>
        </w:rPr>
        <w:t xml:space="preserve"> of knowledge” (p. 96). </w:t>
      </w:r>
    </w:p>
    <w:p w:rsidR="00303BE1" w:rsidRDefault="00303BE1" w:rsidP="00303BE1">
      <w:pPr>
        <w:ind w:firstLine="720"/>
        <w:rPr>
          <w:color w:val="000000"/>
        </w:rPr>
      </w:pPr>
    </w:p>
    <w:p w:rsidR="00303BE1" w:rsidRPr="000A6D30" w:rsidRDefault="00303BE1" w:rsidP="00303BE1">
      <w:pPr>
        <w:ind w:firstLine="720"/>
        <w:rPr>
          <w:color w:val="000000"/>
        </w:rPr>
      </w:pPr>
      <w:r w:rsidRPr="000A6D30">
        <w:rPr>
          <w:color w:val="000000"/>
        </w:rPr>
        <w:t xml:space="preserve">The presence of disability in postcolonial fictional texts destabilizes totalizing tendencies in two useful ways. Firstly, disabled characters challenge </w:t>
      </w:r>
      <w:r w:rsidRPr="000A6D30">
        <w:rPr>
          <w:i/>
          <w:color w:val="000000"/>
        </w:rPr>
        <w:t>western</w:t>
      </w:r>
      <w:r w:rsidRPr="000A6D30">
        <w:rPr>
          <w:color w:val="000000"/>
        </w:rPr>
        <w:t xml:space="preserve"> cultural hegemony by showcasing alternative </w:t>
      </w:r>
      <w:r>
        <w:rPr>
          <w:color w:val="000000"/>
        </w:rPr>
        <w:t>methods</w:t>
      </w:r>
      <w:r w:rsidRPr="000A6D30">
        <w:rPr>
          <w:color w:val="000000"/>
        </w:rPr>
        <w:t xml:space="preserve"> of constructing, understanding and managing </w:t>
      </w:r>
      <w:r>
        <w:rPr>
          <w:color w:val="000000"/>
        </w:rPr>
        <w:t xml:space="preserve">global </w:t>
      </w:r>
      <w:r w:rsidRPr="000A6D30">
        <w:rPr>
          <w:color w:val="000000"/>
        </w:rPr>
        <w:t xml:space="preserve">difference </w:t>
      </w:r>
      <w:r>
        <w:rPr>
          <w:color w:val="000000"/>
        </w:rPr>
        <w:t>quite distinct from ubiquitous “</w:t>
      </w:r>
      <w:r w:rsidRPr="000A6D30">
        <w:rPr>
          <w:color w:val="000000"/>
        </w:rPr>
        <w:t>poster child</w:t>
      </w:r>
      <w:r>
        <w:rPr>
          <w:color w:val="000000"/>
        </w:rPr>
        <w:t>”</w:t>
      </w:r>
      <w:r w:rsidRPr="000A6D30">
        <w:rPr>
          <w:color w:val="000000"/>
        </w:rPr>
        <w:t xml:space="preserve"> na</w:t>
      </w:r>
      <w:r>
        <w:rPr>
          <w:color w:val="000000"/>
        </w:rPr>
        <w:t>rratives of dependency and pity. S</w:t>
      </w:r>
      <w:r w:rsidRPr="000A6D30">
        <w:rPr>
          <w:color w:val="000000"/>
        </w:rPr>
        <w:t xml:space="preserve">econdly, they act as a check on the universalizing tendencies of </w:t>
      </w:r>
      <w:r w:rsidRPr="000A6D30">
        <w:rPr>
          <w:i/>
          <w:color w:val="000000"/>
        </w:rPr>
        <w:t xml:space="preserve">disability discourses </w:t>
      </w:r>
      <w:r w:rsidRPr="000A6D30">
        <w:rPr>
          <w:color w:val="000000"/>
        </w:rPr>
        <w:t xml:space="preserve">– </w:t>
      </w:r>
      <w:r>
        <w:rPr>
          <w:color w:val="000000"/>
        </w:rPr>
        <w:t xml:space="preserve">both </w:t>
      </w:r>
      <w:r w:rsidRPr="000A6D30">
        <w:rPr>
          <w:color w:val="000000"/>
        </w:rPr>
        <w:t xml:space="preserve">indigenous constructions of disability </w:t>
      </w:r>
      <w:r w:rsidRPr="000A6D30">
        <w:rPr>
          <w:i/>
          <w:color w:val="000000"/>
        </w:rPr>
        <w:t>and</w:t>
      </w:r>
      <w:r w:rsidRPr="000A6D30">
        <w:rPr>
          <w:color w:val="000000"/>
        </w:rPr>
        <w:t xml:space="preserve"> imported western ones. By contin</w:t>
      </w:r>
      <w:r>
        <w:rPr>
          <w:color w:val="000000"/>
        </w:rPr>
        <w:t>ually drawing attention to the “</w:t>
      </w:r>
      <w:proofErr w:type="spellStart"/>
      <w:r w:rsidRPr="000A6D30">
        <w:rPr>
          <w:color w:val="000000"/>
        </w:rPr>
        <w:t>situatedness</w:t>
      </w:r>
      <w:proofErr w:type="spellEnd"/>
      <w:r w:rsidRPr="000A6D30">
        <w:rPr>
          <w:color w:val="000000"/>
        </w:rPr>
        <w:t xml:space="preserve"> of knowledge</w:t>
      </w:r>
      <w:r>
        <w:rPr>
          <w:color w:val="000000"/>
        </w:rPr>
        <w:t>”</w:t>
      </w:r>
      <w:r w:rsidRPr="000A6D30">
        <w:rPr>
          <w:color w:val="000000"/>
        </w:rPr>
        <w:t xml:space="preserve"> about disabled difference, fictional representations expose the insufficiencies of current theoretical models of disability, encourage the decolonization of reading practices, and offer alternative </w:t>
      </w:r>
      <w:r>
        <w:rPr>
          <w:color w:val="000000"/>
        </w:rPr>
        <w:t>“cultural models”</w:t>
      </w:r>
      <w:r w:rsidRPr="000A6D30">
        <w:rPr>
          <w:color w:val="000000"/>
        </w:rPr>
        <w:t xml:space="preserve"> as the </w:t>
      </w:r>
      <w:r w:rsidRPr="000A6D30">
        <w:rPr>
          <w:i/>
          <w:color w:val="000000"/>
        </w:rPr>
        <w:t xml:space="preserve">basis </w:t>
      </w:r>
      <w:r w:rsidRPr="000A6D30">
        <w:rPr>
          <w:color w:val="000000"/>
        </w:rPr>
        <w:t xml:space="preserve">of politicized disability theory. In turn, critical analysis of such texts serves to illuminate the theoretical elisions within disability studies </w:t>
      </w:r>
      <w:r w:rsidRPr="000A6D30">
        <w:rPr>
          <w:i/>
          <w:color w:val="000000"/>
        </w:rPr>
        <w:t>and</w:t>
      </w:r>
      <w:r w:rsidRPr="000A6D30">
        <w:rPr>
          <w:color w:val="000000"/>
        </w:rPr>
        <w:t xml:space="preserve"> postcolonial </w:t>
      </w:r>
      <w:r>
        <w:rPr>
          <w:color w:val="000000"/>
        </w:rPr>
        <w:t>literary studies (within which “prosthetic”</w:t>
      </w:r>
      <w:r w:rsidRPr="000A6D30">
        <w:rPr>
          <w:color w:val="000000"/>
        </w:rPr>
        <w:t xml:space="preserve"> readings are the default position), and begins to establish a more collaborative approach towards the study of disability in postcolonial contexts.</w:t>
      </w:r>
    </w:p>
    <w:p w:rsidR="00303BE1" w:rsidRPr="000A6D30" w:rsidRDefault="00303BE1" w:rsidP="00303BE1">
      <w:pPr>
        <w:rPr>
          <w:color w:val="000000"/>
        </w:rPr>
      </w:pPr>
    </w:p>
    <w:p w:rsidR="00303BE1" w:rsidRPr="007F0B02" w:rsidRDefault="00303BE1" w:rsidP="00303BE1">
      <w:r w:rsidRPr="007F0B02">
        <w:rPr>
          <w:b/>
        </w:rPr>
        <w:t>Clare Barker, Ph.D.</w:t>
      </w:r>
      <w:r w:rsidRPr="007F0B02">
        <w:t xml:space="preserve">, is Lecturer in English at the University of Birmingham. She is currently working on a monograph that combines the critical perspectives of disability studies and </w:t>
      </w:r>
      <w:proofErr w:type="spellStart"/>
      <w:r w:rsidRPr="007F0B02">
        <w:t>postcolonialism</w:t>
      </w:r>
      <w:proofErr w:type="spellEnd"/>
      <w:r w:rsidRPr="007F0B02">
        <w:t xml:space="preserve"> to explore representations of disability in postcolonial fictions, and is guest co-editor of a forthcoming special issue of the Journal of Literary and Cultural Disability Studies entitled “Disabling </w:t>
      </w:r>
      <w:proofErr w:type="spellStart"/>
      <w:r w:rsidRPr="007F0B02">
        <w:t>Postcolonialism</w:t>
      </w:r>
      <w:proofErr w:type="spellEnd"/>
      <w:r w:rsidRPr="007F0B02">
        <w:t xml:space="preserve">.” She has published articles on eating disorders in </w:t>
      </w:r>
      <w:proofErr w:type="spellStart"/>
      <w:r w:rsidRPr="007F0B02">
        <w:t>Tsitsi</w:t>
      </w:r>
      <w:proofErr w:type="spellEnd"/>
      <w:r w:rsidRPr="007F0B02">
        <w:t xml:space="preserve"> </w:t>
      </w:r>
      <w:proofErr w:type="spellStart"/>
      <w:r w:rsidRPr="007F0B02">
        <w:t>Dangarembga’s</w:t>
      </w:r>
      <w:proofErr w:type="spellEnd"/>
      <w:r w:rsidRPr="007F0B02">
        <w:t xml:space="preserve"> </w:t>
      </w:r>
      <w:r w:rsidRPr="007F0B02">
        <w:rPr>
          <w:i/>
        </w:rPr>
        <w:t>Nervous Conditions</w:t>
      </w:r>
      <w:r w:rsidRPr="007F0B02">
        <w:t xml:space="preserve"> and on disability in </w:t>
      </w:r>
      <w:proofErr w:type="spellStart"/>
      <w:r w:rsidRPr="007F0B02">
        <w:t>Māori</w:t>
      </w:r>
      <w:proofErr w:type="spellEnd"/>
      <w:r w:rsidRPr="007F0B02">
        <w:t xml:space="preserve"> literature, winning the </w:t>
      </w:r>
      <w:r w:rsidRPr="007F0B02">
        <w:rPr>
          <w:i/>
        </w:rPr>
        <w:t>Journal of New Zealand Literature</w:t>
      </w:r>
      <w:r w:rsidRPr="007F0B02">
        <w:t xml:space="preserve"> Prize for New Zealand Literary Studies. She may be contacted at: </w:t>
      </w:r>
      <w:hyperlink r:id="rId4" w:history="1">
        <w:r w:rsidRPr="007F0B02">
          <w:rPr>
            <w:rStyle w:val="Hyperlink"/>
            <w:rFonts w:eastAsiaTheme="majorEastAsia"/>
          </w:rPr>
          <w:t>c.f.barker@bham.ac.uk</w:t>
        </w:r>
      </w:hyperlink>
    </w:p>
    <w:p w:rsidR="00303BE1" w:rsidRPr="000A6D30" w:rsidRDefault="00303BE1" w:rsidP="00303BE1">
      <w:pPr>
        <w:rPr>
          <w:color w:val="000000"/>
        </w:rPr>
      </w:pPr>
    </w:p>
    <w:p w:rsidR="00303BE1" w:rsidRPr="000A6D30" w:rsidRDefault="00303BE1" w:rsidP="00303BE1">
      <w:pPr>
        <w:jc w:val="center"/>
        <w:rPr>
          <w:color w:val="000000"/>
        </w:rPr>
      </w:pPr>
      <w:r w:rsidRPr="000A6D30">
        <w:rPr>
          <w:color w:val="000000"/>
        </w:rPr>
        <w:t>References</w:t>
      </w:r>
    </w:p>
    <w:p w:rsidR="00303BE1" w:rsidRPr="000A6D30" w:rsidRDefault="00303BE1" w:rsidP="00303BE1">
      <w:pPr>
        <w:ind w:left="567" w:hanging="567"/>
        <w:rPr>
          <w:color w:val="000000"/>
        </w:rPr>
      </w:pPr>
    </w:p>
    <w:p w:rsidR="00303BE1" w:rsidRPr="000A6D30" w:rsidRDefault="00303BE1" w:rsidP="00303BE1">
      <w:pPr>
        <w:ind w:left="720" w:hanging="720"/>
        <w:rPr>
          <w:color w:val="000000"/>
        </w:rPr>
      </w:pPr>
      <w:proofErr w:type="gramStart"/>
      <w:r w:rsidRPr="000A6D30">
        <w:rPr>
          <w:color w:val="000000"/>
        </w:rPr>
        <w:t>Barker, C. (2008).</w:t>
      </w:r>
      <w:proofErr w:type="gramEnd"/>
      <w:r w:rsidRPr="000A6D30">
        <w:rPr>
          <w:color w:val="000000"/>
        </w:rPr>
        <w:t xml:space="preserve"> </w:t>
      </w:r>
      <w:proofErr w:type="gramStart"/>
      <w:r w:rsidRPr="000A6D30">
        <w:rPr>
          <w:i/>
          <w:color w:val="000000"/>
        </w:rPr>
        <w:t>Exceptional children, disability and cultural history in contemporary postcolonial fiction</w:t>
      </w:r>
      <w:r>
        <w:rPr>
          <w:color w:val="000000"/>
        </w:rPr>
        <w:t xml:space="preserve"> (</w:t>
      </w:r>
      <w:r w:rsidRPr="000A6D30">
        <w:rPr>
          <w:color w:val="000000"/>
        </w:rPr>
        <w:t>Unpublished doctoral dissertation</w:t>
      </w:r>
      <w:r>
        <w:rPr>
          <w:color w:val="000000"/>
        </w:rPr>
        <w:t>).</w:t>
      </w:r>
      <w:proofErr w:type="gramEnd"/>
      <w:r w:rsidRPr="000A6D30">
        <w:rPr>
          <w:color w:val="000000"/>
        </w:rPr>
        <w:t xml:space="preserve"> University of Leeds, UK</w:t>
      </w:r>
      <w:r>
        <w:rPr>
          <w:color w:val="000000"/>
        </w:rPr>
        <w:t>.</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spellStart"/>
      <w:proofErr w:type="gramStart"/>
      <w:r w:rsidRPr="000A6D30">
        <w:rPr>
          <w:color w:val="000000"/>
        </w:rPr>
        <w:t>Boehmer</w:t>
      </w:r>
      <w:proofErr w:type="spellEnd"/>
      <w:r w:rsidRPr="000A6D30">
        <w:rPr>
          <w:color w:val="000000"/>
        </w:rPr>
        <w:t>, E. (2005).</w:t>
      </w:r>
      <w:proofErr w:type="gramEnd"/>
      <w:r w:rsidRPr="000A6D30">
        <w:rPr>
          <w:color w:val="000000"/>
        </w:rPr>
        <w:t xml:space="preserve"> </w:t>
      </w:r>
      <w:r w:rsidRPr="000A6D30">
        <w:rPr>
          <w:i/>
          <w:color w:val="000000"/>
        </w:rPr>
        <w:t>Stories of women: Gender and narrative in the postcolonial nation</w:t>
      </w:r>
      <w:r w:rsidRPr="000A6D30">
        <w:rPr>
          <w:color w:val="000000"/>
        </w:rPr>
        <w:t>. Manchester, UK: Manchester University Press.</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gramStart"/>
      <w:r w:rsidRPr="000A6D30">
        <w:rPr>
          <w:color w:val="000000"/>
        </w:rPr>
        <w:t>Davidson, M. (2008).</w:t>
      </w:r>
      <w:proofErr w:type="gramEnd"/>
      <w:r w:rsidRPr="000A6D30">
        <w:rPr>
          <w:color w:val="000000"/>
        </w:rPr>
        <w:t xml:space="preserve"> </w:t>
      </w:r>
      <w:r w:rsidRPr="000A6D30">
        <w:rPr>
          <w:i/>
          <w:color w:val="000000"/>
        </w:rPr>
        <w:t xml:space="preserve">Concerto for the left hand: Disability and the </w:t>
      </w:r>
      <w:proofErr w:type="spellStart"/>
      <w:r w:rsidRPr="000A6D30">
        <w:rPr>
          <w:i/>
          <w:color w:val="000000"/>
        </w:rPr>
        <w:t>defamiliar</w:t>
      </w:r>
      <w:proofErr w:type="spellEnd"/>
      <w:r w:rsidRPr="000A6D30">
        <w:rPr>
          <w:i/>
          <w:color w:val="000000"/>
        </w:rPr>
        <w:t xml:space="preserve"> body</w:t>
      </w:r>
      <w:r w:rsidRPr="000A6D30">
        <w:rPr>
          <w:color w:val="000000"/>
        </w:rPr>
        <w:t xml:space="preserve">. Ann </w:t>
      </w:r>
      <w:proofErr w:type="spellStart"/>
      <w:r w:rsidRPr="000A6D30">
        <w:rPr>
          <w:color w:val="000000"/>
        </w:rPr>
        <w:t>Arbor</w:t>
      </w:r>
      <w:proofErr w:type="spellEnd"/>
      <w:r>
        <w:rPr>
          <w:color w:val="000000"/>
        </w:rPr>
        <w:t>, MI</w:t>
      </w:r>
      <w:r w:rsidRPr="000A6D30">
        <w:rPr>
          <w:color w:val="000000"/>
        </w:rPr>
        <w:t>: University of Michigan Press.</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r w:rsidRPr="000A6D30">
        <w:rPr>
          <w:color w:val="000000"/>
        </w:rPr>
        <w:t xml:space="preserve">Davis, L. J. (1995). </w:t>
      </w:r>
      <w:proofErr w:type="gramStart"/>
      <w:r w:rsidRPr="000A6D30">
        <w:rPr>
          <w:i/>
          <w:color w:val="000000"/>
        </w:rPr>
        <w:t>Enforcing normalcy: Disability, deafness, and the body</w:t>
      </w:r>
      <w:r w:rsidRPr="000A6D30">
        <w:rPr>
          <w:color w:val="000000"/>
        </w:rPr>
        <w:t>.</w:t>
      </w:r>
      <w:proofErr w:type="gramEnd"/>
      <w:r w:rsidRPr="000A6D30">
        <w:rPr>
          <w:color w:val="000000"/>
        </w:rPr>
        <w:t xml:space="preserve"> London: Verso.</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r w:rsidRPr="000A6D30">
        <w:rPr>
          <w:color w:val="000000"/>
        </w:rPr>
        <w:t xml:space="preserve">Davis, L. J. (2002a). </w:t>
      </w:r>
      <w:proofErr w:type="gramStart"/>
      <w:r w:rsidRPr="000A6D30">
        <w:rPr>
          <w:i/>
          <w:color w:val="000000"/>
        </w:rPr>
        <w:t xml:space="preserve">Bending over backwards: Disability, </w:t>
      </w:r>
      <w:proofErr w:type="spellStart"/>
      <w:r w:rsidRPr="000A6D30">
        <w:rPr>
          <w:i/>
          <w:color w:val="000000"/>
        </w:rPr>
        <w:t>dismodernism</w:t>
      </w:r>
      <w:proofErr w:type="spellEnd"/>
      <w:r w:rsidRPr="000A6D30">
        <w:rPr>
          <w:i/>
          <w:color w:val="000000"/>
        </w:rPr>
        <w:t>, and other difficult positions</w:t>
      </w:r>
      <w:r w:rsidRPr="000A6D30">
        <w:rPr>
          <w:color w:val="000000"/>
        </w:rPr>
        <w:t>.</w:t>
      </w:r>
      <w:proofErr w:type="gramEnd"/>
      <w:r w:rsidRPr="000A6D30">
        <w:rPr>
          <w:color w:val="000000"/>
        </w:rPr>
        <w:t xml:space="preserve"> New York: New York University Press.</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r w:rsidRPr="000A6D30">
        <w:rPr>
          <w:color w:val="000000"/>
        </w:rPr>
        <w:t xml:space="preserve">Davis, L. J. (2002b). Bodies of difference: Politics, disability, and representation. In S. L. Snyder, B. J. </w:t>
      </w:r>
      <w:proofErr w:type="spellStart"/>
      <w:r w:rsidRPr="000A6D30">
        <w:rPr>
          <w:color w:val="000000"/>
        </w:rPr>
        <w:t>Brueggemann</w:t>
      </w:r>
      <w:proofErr w:type="spellEnd"/>
      <w:r w:rsidRPr="000A6D30">
        <w:rPr>
          <w:color w:val="000000"/>
        </w:rPr>
        <w:t xml:space="preserve">, &amp; R. Garland-Thomson (Eds.), </w:t>
      </w:r>
      <w:r w:rsidRPr="000A6D30">
        <w:rPr>
          <w:i/>
          <w:color w:val="000000"/>
        </w:rPr>
        <w:t>Disability studies: Enabling the humanities</w:t>
      </w:r>
      <w:r w:rsidRPr="000A6D30">
        <w:rPr>
          <w:color w:val="000000"/>
        </w:rPr>
        <w:t>.</w:t>
      </w:r>
      <w:r w:rsidRPr="000A6D30">
        <w:rPr>
          <w:i/>
          <w:color w:val="000000"/>
        </w:rPr>
        <w:t xml:space="preserve"> </w:t>
      </w:r>
      <w:r w:rsidRPr="000A6D30">
        <w:rPr>
          <w:color w:val="000000"/>
        </w:rPr>
        <w:t xml:space="preserve">New York: Modern Language Association of America. </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r w:rsidRPr="000A6D30">
        <w:rPr>
          <w:color w:val="000000"/>
        </w:rPr>
        <w:t xml:space="preserve">Disability in the majority world: </w:t>
      </w:r>
      <w:r>
        <w:rPr>
          <w:color w:val="000000"/>
        </w:rPr>
        <w:t>The facts</w:t>
      </w:r>
      <w:r w:rsidRPr="000A6D30">
        <w:rPr>
          <w:color w:val="000000"/>
        </w:rPr>
        <w:t xml:space="preserve"> (2005, November). </w:t>
      </w:r>
      <w:r w:rsidRPr="000A6D30">
        <w:rPr>
          <w:i/>
          <w:color w:val="000000"/>
        </w:rPr>
        <w:t>New Internationalist, 384</w:t>
      </w:r>
      <w:r w:rsidRPr="000A6D30">
        <w:rPr>
          <w:color w:val="000000"/>
        </w:rPr>
        <w:t>, 12-13.</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spellStart"/>
      <w:r w:rsidRPr="000A6D30">
        <w:rPr>
          <w:color w:val="000000"/>
        </w:rPr>
        <w:lastRenderedPageBreak/>
        <w:t>Durie</w:t>
      </w:r>
      <w:proofErr w:type="spellEnd"/>
      <w:r w:rsidRPr="000A6D30">
        <w:rPr>
          <w:color w:val="000000"/>
        </w:rPr>
        <w:t xml:space="preserve">, M. H. (2003). </w:t>
      </w:r>
      <w:proofErr w:type="gramStart"/>
      <w:r w:rsidRPr="000A6D30">
        <w:rPr>
          <w:color w:val="000000"/>
        </w:rPr>
        <w:t>The health of indigenous peoples.</w:t>
      </w:r>
      <w:proofErr w:type="gramEnd"/>
      <w:r w:rsidRPr="000A6D30">
        <w:rPr>
          <w:color w:val="000000"/>
        </w:rPr>
        <w:t xml:space="preserve"> </w:t>
      </w:r>
      <w:r w:rsidRPr="000A6D30">
        <w:rPr>
          <w:i/>
          <w:color w:val="000000"/>
        </w:rPr>
        <w:t>British Medical Journal</w:t>
      </w:r>
      <w:r w:rsidRPr="000A6D30">
        <w:rPr>
          <w:color w:val="000000"/>
        </w:rPr>
        <w:t xml:space="preserve">, </w:t>
      </w:r>
      <w:r w:rsidRPr="000A6D30">
        <w:rPr>
          <w:i/>
          <w:color w:val="000000"/>
        </w:rPr>
        <w:t>326</w:t>
      </w:r>
      <w:r w:rsidRPr="000A6D30">
        <w:rPr>
          <w:color w:val="000000"/>
        </w:rPr>
        <w:t>, 510-511.</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gramStart"/>
      <w:r w:rsidRPr="000A6D30">
        <w:rPr>
          <w:color w:val="000000"/>
        </w:rPr>
        <w:t>Fanon, F. (1963).</w:t>
      </w:r>
      <w:proofErr w:type="gramEnd"/>
      <w:r w:rsidRPr="000A6D30">
        <w:rPr>
          <w:color w:val="000000"/>
        </w:rPr>
        <w:t xml:space="preserve"> </w:t>
      </w:r>
      <w:proofErr w:type="gramStart"/>
      <w:r w:rsidRPr="000A6D30">
        <w:rPr>
          <w:i/>
          <w:color w:val="000000"/>
        </w:rPr>
        <w:t>The wretched of the earth</w:t>
      </w:r>
      <w:r w:rsidRPr="000A6D30">
        <w:rPr>
          <w:color w:val="000000"/>
        </w:rPr>
        <w:t xml:space="preserve"> (C. Farrington, Trans.).</w:t>
      </w:r>
      <w:proofErr w:type="gramEnd"/>
      <w:r w:rsidRPr="000A6D30">
        <w:rPr>
          <w:color w:val="000000"/>
        </w:rPr>
        <w:t xml:space="preserve"> </w:t>
      </w:r>
      <w:proofErr w:type="spellStart"/>
      <w:r w:rsidRPr="000A6D30">
        <w:rPr>
          <w:color w:val="000000"/>
        </w:rPr>
        <w:t>Harmondsworth</w:t>
      </w:r>
      <w:proofErr w:type="spellEnd"/>
      <w:r w:rsidRPr="000A6D30">
        <w:rPr>
          <w:color w:val="000000"/>
        </w:rPr>
        <w:t>, UK: Penguin. (Original work published 1961</w:t>
      </w:r>
      <w:r>
        <w:rPr>
          <w:color w:val="000000"/>
        </w:rPr>
        <w:t>)</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gramStart"/>
      <w:r w:rsidRPr="000A6D30">
        <w:rPr>
          <w:color w:val="000000"/>
        </w:rPr>
        <w:t>Fanon, F. (1986).</w:t>
      </w:r>
      <w:proofErr w:type="gramEnd"/>
      <w:r w:rsidRPr="000A6D30">
        <w:rPr>
          <w:color w:val="000000"/>
        </w:rPr>
        <w:t xml:space="preserve"> </w:t>
      </w:r>
      <w:r w:rsidRPr="000A6D30">
        <w:rPr>
          <w:i/>
          <w:color w:val="000000"/>
        </w:rPr>
        <w:t>Black skin, white masks</w:t>
      </w:r>
      <w:r w:rsidRPr="000A6D30">
        <w:rPr>
          <w:color w:val="000000"/>
        </w:rPr>
        <w:t xml:space="preserve"> (C. L. </w:t>
      </w:r>
      <w:proofErr w:type="spellStart"/>
      <w:r w:rsidRPr="000A6D30">
        <w:rPr>
          <w:color w:val="000000"/>
        </w:rPr>
        <w:t>Markmann</w:t>
      </w:r>
      <w:proofErr w:type="spellEnd"/>
      <w:r w:rsidRPr="000A6D30">
        <w:rPr>
          <w:color w:val="000000"/>
        </w:rPr>
        <w:t>, Trans.). London: Pluto Press. (Original work published 1967)</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r w:rsidRPr="000A6D30">
        <w:rPr>
          <w:color w:val="000000"/>
        </w:rPr>
        <w:t xml:space="preserve">Garland-Thomson, R. (1997). </w:t>
      </w:r>
      <w:r w:rsidRPr="000A6D30">
        <w:rPr>
          <w:i/>
          <w:color w:val="000000"/>
        </w:rPr>
        <w:t>Extraordinary bodies: Figuring physical disability in American culture and literature</w:t>
      </w:r>
      <w:r w:rsidRPr="000A6D30">
        <w:rPr>
          <w:color w:val="000000"/>
        </w:rPr>
        <w:t>. New York: Columbia University Press.</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r w:rsidRPr="000A6D30">
        <w:rPr>
          <w:color w:val="000000"/>
        </w:rPr>
        <w:t xml:space="preserve">Garland-Thomson, R. (2002). The politics of staring: Visual </w:t>
      </w:r>
      <w:proofErr w:type="spellStart"/>
      <w:r w:rsidRPr="000A6D30">
        <w:rPr>
          <w:color w:val="000000"/>
        </w:rPr>
        <w:t>rhetorics</w:t>
      </w:r>
      <w:proofErr w:type="spellEnd"/>
      <w:r w:rsidRPr="000A6D30">
        <w:rPr>
          <w:color w:val="000000"/>
        </w:rPr>
        <w:t xml:space="preserve"> of disability in popular photography. In S. L. Snyder, B. J. </w:t>
      </w:r>
      <w:proofErr w:type="spellStart"/>
      <w:r w:rsidRPr="000A6D30">
        <w:rPr>
          <w:color w:val="000000"/>
        </w:rPr>
        <w:t>Brueggemann</w:t>
      </w:r>
      <w:proofErr w:type="spellEnd"/>
      <w:r w:rsidRPr="000A6D30">
        <w:rPr>
          <w:color w:val="000000"/>
        </w:rPr>
        <w:t>, &amp; R. Garland-Thomson</w:t>
      </w:r>
      <w:r>
        <w:rPr>
          <w:color w:val="000000"/>
        </w:rPr>
        <w:t xml:space="preserve"> </w:t>
      </w:r>
      <w:r w:rsidRPr="000A6D30">
        <w:rPr>
          <w:color w:val="000000"/>
        </w:rPr>
        <w:t xml:space="preserve">(Eds.), </w:t>
      </w:r>
      <w:r w:rsidRPr="000A6D30">
        <w:rPr>
          <w:i/>
          <w:color w:val="000000"/>
        </w:rPr>
        <w:t>Disability studies: Enabling the humanities</w:t>
      </w:r>
      <w:r w:rsidRPr="000A6D30">
        <w:rPr>
          <w:color w:val="000000"/>
        </w:rPr>
        <w:t>.</w:t>
      </w:r>
      <w:r w:rsidRPr="000A6D30">
        <w:rPr>
          <w:i/>
          <w:color w:val="000000"/>
        </w:rPr>
        <w:t xml:space="preserve"> </w:t>
      </w:r>
      <w:r w:rsidRPr="000A6D30">
        <w:rPr>
          <w:color w:val="000000"/>
        </w:rPr>
        <w:t xml:space="preserve">New York: Modern Language Association of America. </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spellStart"/>
      <w:r w:rsidRPr="000A6D30">
        <w:rPr>
          <w:color w:val="000000"/>
        </w:rPr>
        <w:t>Ghai</w:t>
      </w:r>
      <w:proofErr w:type="spellEnd"/>
      <w:r w:rsidRPr="000A6D30">
        <w:rPr>
          <w:color w:val="000000"/>
        </w:rPr>
        <w:t xml:space="preserve">, A. (2002). Disability in the Indian context: Post-colonial perspectives. </w:t>
      </w:r>
      <w:proofErr w:type="gramStart"/>
      <w:r w:rsidRPr="000A6D30">
        <w:rPr>
          <w:color w:val="000000"/>
        </w:rPr>
        <w:t xml:space="preserve">In M. Corker &amp; T. Shakespeare (Eds.), </w:t>
      </w:r>
      <w:r w:rsidRPr="000A6D30">
        <w:rPr>
          <w:i/>
          <w:color w:val="000000"/>
        </w:rPr>
        <w:t>Disability/</w:t>
      </w:r>
      <w:proofErr w:type="spellStart"/>
      <w:r w:rsidRPr="000A6D30">
        <w:rPr>
          <w:i/>
          <w:color w:val="000000"/>
        </w:rPr>
        <w:t>postmodernity</w:t>
      </w:r>
      <w:proofErr w:type="spellEnd"/>
      <w:r w:rsidRPr="000A6D30">
        <w:rPr>
          <w:i/>
          <w:color w:val="000000"/>
        </w:rPr>
        <w:t xml:space="preserve">: Embodying disability theory </w:t>
      </w:r>
      <w:r w:rsidRPr="000A6D30">
        <w:rPr>
          <w:color w:val="000000"/>
        </w:rPr>
        <w:t>(pp. 88-100).</w:t>
      </w:r>
      <w:proofErr w:type="gramEnd"/>
      <w:r w:rsidRPr="000A6D30">
        <w:rPr>
          <w:color w:val="000000"/>
        </w:rPr>
        <w:t xml:space="preserve"> London: Continuum.</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spellStart"/>
      <w:r w:rsidRPr="000A6D30">
        <w:rPr>
          <w:color w:val="000000"/>
        </w:rPr>
        <w:t>Huggan</w:t>
      </w:r>
      <w:proofErr w:type="spellEnd"/>
      <w:r w:rsidRPr="000A6D30">
        <w:rPr>
          <w:color w:val="000000"/>
        </w:rPr>
        <w:t xml:space="preserve">, G. (2001). </w:t>
      </w:r>
      <w:r w:rsidRPr="000A6D30">
        <w:rPr>
          <w:i/>
          <w:color w:val="000000"/>
        </w:rPr>
        <w:t>The postcolonial exotic: Marketing the margins</w:t>
      </w:r>
      <w:r w:rsidRPr="000A6D30">
        <w:rPr>
          <w:color w:val="000000"/>
        </w:rPr>
        <w:t xml:space="preserve">. London: </w:t>
      </w:r>
      <w:proofErr w:type="spellStart"/>
      <w:r w:rsidRPr="000A6D30">
        <w:rPr>
          <w:color w:val="000000"/>
        </w:rPr>
        <w:t>Routledge</w:t>
      </w:r>
      <w:proofErr w:type="spellEnd"/>
      <w:r w:rsidRPr="000A6D30">
        <w:rPr>
          <w:color w:val="000000"/>
        </w:rPr>
        <w:t>.</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spellStart"/>
      <w:r w:rsidRPr="000A6D30">
        <w:rPr>
          <w:color w:val="000000"/>
        </w:rPr>
        <w:t>Longmore</w:t>
      </w:r>
      <w:proofErr w:type="spellEnd"/>
      <w:r w:rsidRPr="000A6D30">
        <w:rPr>
          <w:color w:val="000000"/>
        </w:rPr>
        <w:t xml:space="preserve">, P. K. (1997). Conspicuous contribution and American cultural dilemmas: Telethon rituals of cleansing and renewal. In D. T. Mitchell &amp; S. L. Snyder (Eds.), </w:t>
      </w:r>
      <w:proofErr w:type="gramStart"/>
      <w:r w:rsidRPr="000A6D30">
        <w:rPr>
          <w:i/>
          <w:color w:val="000000"/>
        </w:rPr>
        <w:t>The</w:t>
      </w:r>
      <w:proofErr w:type="gramEnd"/>
      <w:r>
        <w:rPr>
          <w:i/>
          <w:color w:val="000000"/>
        </w:rPr>
        <w:t xml:space="preserve"> body and physical difference: D</w:t>
      </w:r>
      <w:r w:rsidRPr="000A6D30">
        <w:rPr>
          <w:i/>
          <w:color w:val="000000"/>
        </w:rPr>
        <w:t>iscourses of disability</w:t>
      </w:r>
      <w:r w:rsidRPr="000A6D30">
        <w:rPr>
          <w:color w:val="000000"/>
        </w:rPr>
        <w:t xml:space="preserve">. Ann </w:t>
      </w:r>
      <w:proofErr w:type="spellStart"/>
      <w:r w:rsidRPr="000A6D30">
        <w:rPr>
          <w:color w:val="000000"/>
        </w:rPr>
        <w:t>Arbor</w:t>
      </w:r>
      <w:proofErr w:type="spellEnd"/>
      <w:r>
        <w:rPr>
          <w:color w:val="000000"/>
        </w:rPr>
        <w:t>, MI</w:t>
      </w:r>
      <w:r w:rsidRPr="000A6D30">
        <w:rPr>
          <w:color w:val="000000"/>
        </w:rPr>
        <w:t>: University of Michigan Press.</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spellStart"/>
      <w:r w:rsidRPr="000A6D30">
        <w:rPr>
          <w:color w:val="000000"/>
        </w:rPr>
        <w:t>McRuer</w:t>
      </w:r>
      <w:proofErr w:type="spellEnd"/>
      <w:r w:rsidRPr="000A6D30">
        <w:rPr>
          <w:color w:val="000000"/>
        </w:rPr>
        <w:t xml:space="preserve">, R. (2006). </w:t>
      </w:r>
      <w:proofErr w:type="spellStart"/>
      <w:r w:rsidRPr="000A6D30">
        <w:rPr>
          <w:i/>
          <w:color w:val="000000"/>
        </w:rPr>
        <w:t>Crip</w:t>
      </w:r>
      <w:proofErr w:type="spellEnd"/>
      <w:r w:rsidRPr="000A6D30">
        <w:rPr>
          <w:i/>
          <w:color w:val="000000"/>
        </w:rPr>
        <w:t xml:space="preserve"> theory: Cultural signs of queerness and disability</w:t>
      </w:r>
      <w:r w:rsidRPr="000A6D30">
        <w:rPr>
          <w:color w:val="000000"/>
        </w:rPr>
        <w:t>. New York: New York University Press.</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spellStart"/>
      <w:r w:rsidRPr="000A6D30">
        <w:rPr>
          <w:color w:val="000000"/>
        </w:rPr>
        <w:t>McRuer</w:t>
      </w:r>
      <w:proofErr w:type="spellEnd"/>
      <w:r w:rsidRPr="000A6D30">
        <w:rPr>
          <w:color w:val="000000"/>
        </w:rPr>
        <w:t xml:space="preserve">, R. (2007). </w:t>
      </w:r>
      <w:proofErr w:type="gramStart"/>
      <w:r w:rsidRPr="000A6D30">
        <w:rPr>
          <w:color w:val="000000"/>
        </w:rPr>
        <w:t>Taking it to the bank: Independence and inclusion on the world market.</w:t>
      </w:r>
      <w:proofErr w:type="gramEnd"/>
      <w:r w:rsidRPr="000A6D30">
        <w:rPr>
          <w:color w:val="000000"/>
        </w:rPr>
        <w:t xml:space="preserve"> </w:t>
      </w:r>
      <w:r w:rsidRPr="000A6D30">
        <w:rPr>
          <w:i/>
          <w:color w:val="000000"/>
        </w:rPr>
        <w:t>Journal of Literary Disability, 1</w:t>
      </w:r>
      <w:r w:rsidRPr="000A6D30">
        <w:rPr>
          <w:color w:val="000000"/>
        </w:rPr>
        <w:t xml:space="preserve">(2), 5-14. </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gramStart"/>
      <w:r w:rsidRPr="000A6D30">
        <w:rPr>
          <w:color w:val="000000"/>
        </w:rPr>
        <w:t>Mitchell, D. T. (2002).</w:t>
      </w:r>
      <w:proofErr w:type="gramEnd"/>
      <w:r w:rsidRPr="000A6D30">
        <w:rPr>
          <w:color w:val="000000"/>
        </w:rPr>
        <w:t xml:space="preserve"> </w:t>
      </w:r>
      <w:proofErr w:type="gramStart"/>
      <w:r w:rsidRPr="000A6D30">
        <w:rPr>
          <w:color w:val="000000"/>
        </w:rPr>
        <w:t>Narrative prosthesis and the materiality of metaphor.</w:t>
      </w:r>
      <w:proofErr w:type="gramEnd"/>
      <w:r w:rsidRPr="000A6D30">
        <w:rPr>
          <w:color w:val="000000"/>
        </w:rPr>
        <w:t xml:space="preserve"> In S. L. Snyder, B. J. </w:t>
      </w:r>
      <w:proofErr w:type="spellStart"/>
      <w:r w:rsidRPr="000A6D30">
        <w:rPr>
          <w:color w:val="000000"/>
        </w:rPr>
        <w:t>Brueg</w:t>
      </w:r>
      <w:r>
        <w:rPr>
          <w:color w:val="000000"/>
        </w:rPr>
        <w:t>gemann</w:t>
      </w:r>
      <w:proofErr w:type="spellEnd"/>
      <w:r>
        <w:rPr>
          <w:color w:val="000000"/>
        </w:rPr>
        <w:t>, &amp; R. Garland-Thomson</w:t>
      </w:r>
      <w:r w:rsidRPr="000A6D30">
        <w:rPr>
          <w:color w:val="000000"/>
        </w:rPr>
        <w:t xml:space="preserve"> (Eds.), </w:t>
      </w:r>
      <w:r w:rsidRPr="000A6D30">
        <w:rPr>
          <w:i/>
          <w:color w:val="000000"/>
        </w:rPr>
        <w:t>Disability studies: Enabling the humanities</w:t>
      </w:r>
      <w:r w:rsidRPr="000A6D30">
        <w:rPr>
          <w:color w:val="000000"/>
        </w:rPr>
        <w:t>.</w:t>
      </w:r>
      <w:r w:rsidRPr="000A6D30">
        <w:rPr>
          <w:i/>
          <w:color w:val="000000"/>
        </w:rPr>
        <w:t xml:space="preserve"> </w:t>
      </w:r>
      <w:r w:rsidRPr="000A6D30">
        <w:rPr>
          <w:color w:val="000000"/>
        </w:rPr>
        <w:t>New York: Modern Language Association of America.</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gramStart"/>
      <w:r w:rsidRPr="000A6D30">
        <w:rPr>
          <w:color w:val="000000"/>
        </w:rPr>
        <w:t>Mitchell, D. T., &amp; Snyder, S. L. (1997a).</w:t>
      </w:r>
      <w:proofErr w:type="gramEnd"/>
      <w:r w:rsidRPr="000A6D30">
        <w:rPr>
          <w:color w:val="000000"/>
        </w:rPr>
        <w:t xml:space="preserve"> Introduction: Disability studies and the double bind of representation. In D. T. Mitchell &amp; S. L. Snyder (Eds.), </w:t>
      </w:r>
      <w:proofErr w:type="gramStart"/>
      <w:r w:rsidRPr="000A6D30">
        <w:rPr>
          <w:i/>
          <w:color w:val="000000"/>
        </w:rPr>
        <w:t>The</w:t>
      </w:r>
      <w:proofErr w:type="gramEnd"/>
      <w:r>
        <w:rPr>
          <w:i/>
          <w:color w:val="000000"/>
        </w:rPr>
        <w:t xml:space="preserve"> body and physical difference: D</w:t>
      </w:r>
      <w:r w:rsidRPr="000A6D30">
        <w:rPr>
          <w:i/>
          <w:color w:val="000000"/>
        </w:rPr>
        <w:t>iscourses of disability</w:t>
      </w:r>
      <w:r w:rsidRPr="000A6D30">
        <w:rPr>
          <w:color w:val="000000"/>
        </w:rPr>
        <w:t xml:space="preserve">. Ann </w:t>
      </w:r>
      <w:proofErr w:type="spellStart"/>
      <w:r w:rsidRPr="000A6D30">
        <w:rPr>
          <w:color w:val="000000"/>
        </w:rPr>
        <w:t>Arbor</w:t>
      </w:r>
      <w:proofErr w:type="spellEnd"/>
      <w:r w:rsidRPr="000A6D30">
        <w:rPr>
          <w:color w:val="000000"/>
        </w:rPr>
        <w:t>: University of Michigan Press.</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gramStart"/>
      <w:r w:rsidRPr="000A6D30">
        <w:rPr>
          <w:color w:val="000000"/>
        </w:rPr>
        <w:t>Mitchell, D. T., &amp; Snyder, S. L. (</w:t>
      </w:r>
      <w:proofErr w:type="spellStart"/>
      <w:r w:rsidRPr="000A6D30">
        <w:rPr>
          <w:color w:val="000000"/>
        </w:rPr>
        <w:t>Eds</w:t>
      </w:r>
      <w:proofErr w:type="spellEnd"/>
      <w:r w:rsidRPr="000A6D30">
        <w:rPr>
          <w:color w:val="000000"/>
        </w:rPr>
        <w:t>).</w:t>
      </w:r>
      <w:proofErr w:type="gramEnd"/>
      <w:r w:rsidRPr="000A6D30">
        <w:rPr>
          <w:color w:val="000000"/>
        </w:rPr>
        <w:t xml:space="preserve"> (1997b). </w:t>
      </w:r>
      <w:proofErr w:type="gramStart"/>
      <w:r w:rsidRPr="000A6D30">
        <w:rPr>
          <w:i/>
          <w:color w:val="000000"/>
        </w:rPr>
        <w:t>The</w:t>
      </w:r>
      <w:proofErr w:type="gramEnd"/>
      <w:r w:rsidRPr="000A6D30">
        <w:rPr>
          <w:i/>
          <w:color w:val="000000"/>
        </w:rPr>
        <w:t xml:space="preserve"> body and phys</w:t>
      </w:r>
      <w:r>
        <w:rPr>
          <w:i/>
          <w:color w:val="000000"/>
        </w:rPr>
        <w:t>ical difference: D</w:t>
      </w:r>
      <w:r w:rsidRPr="000A6D30">
        <w:rPr>
          <w:i/>
          <w:color w:val="000000"/>
        </w:rPr>
        <w:t>iscourses of disability</w:t>
      </w:r>
      <w:r w:rsidRPr="000A6D30">
        <w:rPr>
          <w:color w:val="000000"/>
        </w:rPr>
        <w:t xml:space="preserve">. Ann </w:t>
      </w:r>
      <w:proofErr w:type="spellStart"/>
      <w:r w:rsidRPr="000A6D30">
        <w:rPr>
          <w:color w:val="000000"/>
        </w:rPr>
        <w:t>Arbor</w:t>
      </w:r>
      <w:proofErr w:type="spellEnd"/>
      <w:r w:rsidRPr="000A6D30">
        <w:rPr>
          <w:color w:val="000000"/>
        </w:rPr>
        <w:t>: University of Michigan Press.</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gramStart"/>
      <w:r w:rsidRPr="000A6D30">
        <w:rPr>
          <w:color w:val="000000"/>
        </w:rPr>
        <w:t>Mitchell, D. T., &amp; Snyder, S. L. (2000).</w:t>
      </w:r>
      <w:proofErr w:type="gramEnd"/>
      <w:r w:rsidRPr="000A6D30">
        <w:rPr>
          <w:color w:val="000000"/>
        </w:rPr>
        <w:t xml:space="preserve"> </w:t>
      </w:r>
      <w:r w:rsidRPr="000A6D30">
        <w:rPr>
          <w:i/>
          <w:color w:val="000000"/>
        </w:rPr>
        <w:t>Narrative prosthesis: Disability and the dependencies of discourse</w:t>
      </w:r>
      <w:r w:rsidRPr="000A6D30">
        <w:rPr>
          <w:color w:val="000000"/>
        </w:rPr>
        <w:t xml:space="preserve">. Ann </w:t>
      </w:r>
      <w:proofErr w:type="spellStart"/>
      <w:r w:rsidRPr="000A6D30">
        <w:rPr>
          <w:color w:val="000000"/>
        </w:rPr>
        <w:t>Arbor</w:t>
      </w:r>
      <w:proofErr w:type="spellEnd"/>
      <w:r w:rsidRPr="000A6D30">
        <w:rPr>
          <w:color w:val="000000"/>
        </w:rPr>
        <w:t>: University of Michigan Press.</w:t>
      </w:r>
    </w:p>
    <w:p w:rsidR="00303BE1" w:rsidRPr="000A6D30" w:rsidRDefault="00303BE1" w:rsidP="00303BE1">
      <w:pPr>
        <w:ind w:left="720" w:hanging="720"/>
        <w:rPr>
          <w:color w:val="000000"/>
        </w:rPr>
      </w:pPr>
    </w:p>
    <w:p w:rsidR="00303BE1" w:rsidRDefault="00303BE1" w:rsidP="00303BE1">
      <w:pPr>
        <w:ind w:left="720" w:hanging="720"/>
        <w:rPr>
          <w:color w:val="000000"/>
        </w:rPr>
      </w:pPr>
      <w:proofErr w:type="gramStart"/>
      <w:r w:rsidRPr="000A6D30">
        <w:rPr>
          <w:color w:val="000000"/>
        </w:rPr>
        <w:t>Mitchell, D. T., &amp; Snyder, S. L. (2005).</w:t>
      </w:r>
      <w:proofErr w:type="gramEnd"/>
      <w:r w:rsidRPr="000A6D30">
        <w:rPr>
          <w:color w:val="000000"/>
        </w:rPr>
        <w:t xml:space="preserve"> Exploitations of embodiment: </w:t>
      </w:r>
      <w:r w:rsidRPr="000A6D30">
        <w:rPr>
          <w:i/>
          <w:color w:val="000000"/>
        </w:rPr>
        <w:t>Born Freak</w:t>
      </w:r>
      <w:r w:rsidRPr="000A6D30">
        <w:rPr>
          <w:color w:val="000000"/>
        </w:rPr>
        <w:t xml:space="preserve"> and the academic bally plank. </w:t>
      </w:r>
      <w:r w:rsidRPr="000A6D30">
        <w:rPr>
          <w:i/>
          <w:color w:val="000000"/>
        </w:rPr>
        <w:t>Disability Studies Quarterly, 25</w:t>
      </w:r>
      <w:r w:rsidRPr="000A6D30">
        <w:rPr>
          <w:color w:val="000000"/>
        </w:rPr>
        <w:t xml:space="preserve">(3). Retrieved from </w:t>
      </w:r>
      <w:hyperlink r:id="rId5" w:history="1">
        <w:r w:rsidRPr="005B347D">
          <w:rPr>
            <w:rStyle w:val="Hyperlink"/>
            <w:rFonts w:eastAsiaTheme="majorEastAsia"/>
          </w:rPr>
          <w:t>http://www.dsq-sds.org/_articles_html/2005/summer/mitchell_snyder.asp</w:t>
        </w:r>
      </w:hyperlink>
    </w:p>
    <w:p w:rsidR="00303BE1" w:rsidRDefault="00303BE1" w:rsidP="00303BE1">
      <w:pPr>
        <w:ind w:left="720" w:hanging="720"/>
        <w:rPr>
          <w:color w:val="000000"/>
        </w:rPr>
      </w:pPr>
    </w:p>
    <w:p w:rsidR="00303BE1" w:rsidRPr="007A356E" w:rsidRDefault="00303BE1" w:rsidP="00303BE1">
      <w:pPr>
        <w:ind w:left="720" w:hanging="720"/>
        <w:rPr>
          <w:color w:val="000000"/>
        </w:rPr>
      </w:pPr>
      <w:proofErr w:type="gramStart"/>
      <w:r>
        <w:rPr>
          <w:color w:val="000000"/>
        </w:rPr>
        <w:t>Mitchell, D. T., &amp; Snyder, S. L. (Eds.).</w:t>
      </w:r>
      <w:proofErr w:type="gramEnd"/>
      <w:r>
        <w:rPr>
          <w:color w:val="000000"/>
        </w:rPr>
        <w:t xml:space="preserve"> </w:t>
      </w:r>
      <w:proofErr w:type="gramStart"/>
      <w:r>
        <w:rPr>
          <w:color w:val="000000"/>
        </w:rPr>
        <w:t xml:space="preserve">(2010). </w:t>
      </w:r>
      <w:proofErr w:type="spellStart"/>
      <w:r>
        <w:rPr>
          <w:color w:val="000000"/>
        </w:rPr>
        <w:t>Ablenationalism</w:t>
      </w:r>
      <w:proofErr w:type="spellEnd"/>
      <w:r>
        <w:rPr>
          <w:color w:val="000000"/>
        </w:rPr>
        <w:t xml:space="preserve"> and the Geo-politics of Disability [special issue].</w:t>
      </w:r>
      <w:proofErr w:type="gramEnd"/>
      <w:r>
        <w:rPr>
          <w:i/>
          <w:color w:val="000000"/>
        </w:rPr>
        <w:t xml:space="preserve"> </w:t>
      </w:r>
      <w:proofErr w:type="gramStart"/>
      <w:r>
        <w:rPr>
          <w:i/>
          <w:color w:val="000000"/>
        </w:rPr>
        <w:t>Journal of Literary and Cultural Disability Studies</w:t>
      </w:r>
      <w:r>
        <w:rPr>
          <w:color w:val="000000"/>
        </w:rPr>
        <w:t xml:space="preserve">, </w:t>
      </w:r>
      <w:r>
        <w:rPr>
          <w:i/>
          <w:color w:val="000000"/>
        </w:rPr>
        <w:t>4</w:t>
      </w:r>
      <w:r w:rsidRPr="004849CD">
        <w:rPr>
          <w:color w:val="000000"/>
        </w:rPr>
        <w:t>(2).</w:t>
      </w:r>
      <w:proofErr w:type="gramEnd"/>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r w:rsidRPr="000A6D30">
        <w:rPr>
          <w:color w:val="000000"/>
        </w:rPr>
        <w:t xml:space="preserve">Moore-Gilbert, B. (1997). </w:t>
      </w:r>
      <w:r w:rsidRPr="000A6D30">
        <w:rPr>
          <w:i/>
          <w:color w:val="000000"/>
        </w:rPr>
        <w:t>Postcolonial theory: Contexts, practices, politics</w:t>
      </w:r>
      <w:r w:rsidRPr="000A6D30">
        <w:rPr>
          <w:color w:val="000000"/>
        </w:rPr>
        <w:t>. London: Verso.</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gramStart"/>
      <w:r w:rsidRPr="000A6D30">
        <w:rPr>
          <w:color w:val="000000"/>
        </w:rPr>
        <w:t>Priestley, M. (Ed.).</w:t>
      </w:r>
      <w:proofErr w:type="gramEnd"/>
      <w:r w:rsidRPr="000A6D30">
        <w:rPr>
          <w:color w:val="000000"/>
        </w:rPr>
        <w:t xml:space="preserve"> (2001). </w:t>
      </w:r>
      <w:r w:rsidRPr="000A6D30">
        <w:rPr>
          <w:i/>
          <w:color w:val="000000"/>
        </w:rPr>
        <w:t>Disability and the life course: Global perspectives</w:t>
      </w:r>
      <w:r w:rsidRPr="000A6D30">
        <w:rPr>
          <w:color w:val="000000"/>
        </w:rPr>
        <w:t>. Cambridge: Cambridge University Press.</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spellStart"/>
      <w:r w:rsidRPr="000A6D30">
        <w:rPr>
          <w:color w:val="000000"/>
        </w:rPr>
        <w:t>Quayson</w:t>
      </w:r>
      <w:proofErr w:type="spellEnd"/>
      <w:r w:rsidRPr="000A6D30">
        <w:rPr>
          <w:color w:val="000000"/>
        </w:rPr>
        <w:t xml:space="preserve">, A. (2007). </w:t>
      </w:r>
      <w:r w:rsidRPr="000A6D30">
        <w:rPr>
          <w:i/>
          <w:color w:val="000000"/>
        </w:rPr>
        <w:t>Aesthetic nervousness: Disability and the crisis of representation</w:t>
      </w:r>
      <w:r w:rsidRPr="000A6D30">
        <w:rPr>
          <w:color w:val="000000"/>
        </w:rPr>
        <w:t>. New York: Columbia University Press.</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r>
        <w:rPr>
          <w:color w:val="000000"/>
        </w:rPr>
        <w:t>Rushdie, S. (1995 /1981</w:t>
      </w:r>
      <w:r w:rsidRPr="000A6D30">
        <w:rPr>
          <w:color w:val="000000"/>
        </w:rPr>
        <w:t xml:space="preserve">). </w:t>
      </w:r>
      <w:proofErr w:type="gramStart"/>
      <w:r w:rsidRPr="000A6D30">
        <w:rPr>
          <w:i/>
          <w:color w:val="000000"/>
        </w:rPr>
        <w:t>Midnight’s children</w:t>
      </w:r>
      <w:r w:rsidRPr="000A6D30">
        <w:rPr>
          <w:color w:val="000000"/>
        </w:rPr>
        <w:t>.</w:t>
      </w:r>
      <w:proofErr w:type="gramEnd"/>
      <w:r w:rsidRPr="000A6D30">
        <w:rPr>
          <w:color w:val="000000"/>
        </w:rPr>
        <w:t xml:space="preserve"> London: Vintage.</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gramStart"/>
      <w:r>
        <w:rPr>
          <w:color w:val="000000"/>
        </w:rPr>
        <w:t>Said, E. W. (1995 /1978</w:t>
      </w:r>
      <w:r w:rsidRPr="000A6D30">
        <w:rPr>
          <w:color w:val="000000"/>
        </w:rPr>
        <w:t>).</w:t>
      </w:r>
      <w:proofErr w:type="gramEnd"/>
      <w:r w:rsidRPr="000A6D30">
        <w:rPr>
          <w:color w:val="000000"/>
        </w:rPr>
        <w:t xml:space="preserve"> </w:t>
      </w:r>
      <w:proofErr w:type="spellStart"/>
      <w:r w:rsidRPr="000A6D30">
        <w:rPr>
          <w:i/>
          <w:color w:val="000000"/>
        </w:rPr>
        <w:t>Orientalism</w:t>
      </w:r>
      <w:proofErr w:type="spellEnd"/>
      <w:r w:rsidRPr="000A6D30">
        <w:rPr>
          <w:i/>
          <w:color w:val="000000"/>
        </w:rPr>
        <w:t>: Western conceptions of the Orient</w:t>
      </w:r>
      <w:r w:rsidRPr="000A6D30">
        <w:rPr>
          <w:color w:val="000000"/>
        </w:rPr>
        <w:t>. London: Penguin.</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gramStart"/>
      <w:r w:rsidRPr="000A6D30">
        <w:rPr>
          <w:color w:val="000000"/>
        </w:rPr>
        <w:t>Sherry, M. (2007).</w:t>
      </w:r>
      <w:proofErr w:type="gramEnd"/>
      <w:r w:rsidRPr="000A6D30">
        <w:rPr>
          <w:color w:val="000000"/>
        </w:rPr>
        <w:t xml:space="preserve"> </w:t>
      </w:r>
      <w:proofErr w:type="spellStart"/>
      <w:proofErr w:type="gramStart"/>
      <w:r w:rsidRPr="000A6D30">
        <w:rPr>
          <w:color w:val="000000"/>
        </w:rPr>
        <w:t>Postcolonising</w:t>
      </w:r>
      <w:proofErr w:type="spellEnd"/>
      <w:r w:rsidRPr="000A6D30">
        <w:rPr>
          <w:color w:val="000000"/>
        </w:rPr>
        <w:t xml:space="preserve"> disability.</w:t>
      </w:r>
      <w:proofErr w:type="gramEnd"/>
      <w:r w:rsidRPr="000A6D30">
        <w:rPr>
          <w:color w:val="000000"/>
        </w:rPr>
        <w:t xml:space="preserve"> </w:t>
      </w:r>
      <w:proofErr w:type="spellStart"/>
      <w:r w:rsidRPr="000A6D30">
        <w:rPr>
          <w:i/>
          <w:color w:val="000000"/>
        </w:rPr>
        <w:t>Wagadu</w:t>
      </w:r>
      <w:proofErr w:type="spellEnd"/>
      <w:r w:rsidRPr="000A6D30">
        <w:rPr>
          <w:i/>
          <w:color w:val="000000"/>
        </w:rPr>
        <w:t>: A Journal of Transnational Women’s and Gender Studies, 4,</w:t>
      </w:r>
      <w:r w:rsidRPr="000A6D30">
        <w:rPr>
          <w:color w:val="000000"/>
        </w:rPr>
        <w:t xml:space="preserve"> 10-22.</w:t>
      </w:r>
    </w:p>
    <w:p w:rsidR="00303BE1" w:rsidRPr="000A6D30" w:rsidRDefault="00303BE1" w:rsidP="00303BE1">
      <w:pPr>
        <w:ind w:left="720" w:hanging="720"/>
        <w:rPr>
          <w:bCs/>
          <w:color w:val="000000"/>
        </w:rPr>
      </w:pPr>
    </w:p>
    <w:p w:rsidR="00303BE1" w:rsidRPr="000A6D30" w:rsidRDefault="00303BE1" w:rsidP="00303BE1">
      <w:pPr>
        <w:ind w:left="720" w:hanging="720"/>
        <w:rPr>
          <w:b/>
          <w:bCs/>
          <w:i/>
          <w:color w:val="000000"/>
        </w:rPr>
      </w:pPr>
      <w:proofErr w:type="gramStart"/>
      <w:r w:rsidRPr="000A6D30">
        <w:rPr>
          <w:bCs/>
          <w:color w:val="000000"/>
        </w:rPr>
        <w:t xml:space="preserve">Small, D. A., </w:t>
      </w:r>
      <w:proofErr w:type="spellStart"/>
      <w:r w:rsidRPr="000A6D30">
        <w:rPr>
          <w:bCs/>
          <w:color w:val="000000"/>
        </w:rPr>
        <w:t>Loewenstein</w:t>
      </w:r>
      <w:proofErr w:type="spellEnd"/>
      <w:r w:rsidRPr="000A6D30">
        <w:rPr>
          <w:bCs/>
          <w:color w:val="000000"/>
        </w:rPr>
        <w:t xml:space="preserve">, G., &amp; </w:t>
      </w:r>
      <w:proofErr w:type="spellStart"/>
      <w:r w:rsidRPr="000A6D30">
        <w:rPr>
          <w:bCs/>
          <w:color w:val="000000"/>
        </w:rPr>
        <w:t>Slovic</w:t>
      </w:r>
      <w:proofErr w:type="spellEnd"/>
      <w:r w:rsidRPr="000A6D30">
        <w:rPr>
          <w:bCs/>
          <w:color w:val="000000"/>
        </w:rPr>
        <w:t>, P. (2007).</w:t>
      </w:r>
      <w:proofErr w:type="gramEnd"/>
      <w:r w:rsidRPr="000A6D30">
        <w:rPr>
          <w:bCs/>
          <w:color w:val="000000"/>
        </w:rPr>
        <w:t xml:space="preserve"> Sympathy and callousness: The impact of deliberative thought on donations to identifiable and statistical victims.</w:t>
      </w:r>
      <w:r w:rsidRPr="000A6D30">
        <w:rPr>
          <w:b/>
          <w:bCs/>
          <w:color w:val="000000"/>
        </w:rPr>
        <w:t xml:space="preserve"> </w:t>
      </w:r>
      <w:r w:rsidRPr="000A6D30">
        <w:rPr>
          <w:i/>
          <w:iCs/>
          <w:color w:val="000000"/>
        </w:rPr>
        <w:t xml:space="preserve">Organizational </w:t>
      </w:r>
      <w:proofErr w:type="spellStart"/>
      <w:r w:rsidRPr="000A6D30">
        <w:rPr>
          <w:i/>
          <w:iCs/>
          <w:color w:val="000000"/>
        </w:rPr>
        <w:t>Behavior</w:t>
      </w:r>
      <w:proofErr w:type="spellEnd"/>
      <w:r w:rsidRPr="000A6D30">
        <w:rPr>
          <w:i/>
          <w:iCs/>
          <w:color w:val="000000"/>
        </w:rPr>
        <w:t xml:space="preserve"> and Human Decision Processes, 102</w:t>
      </w:r>
      <w:r w:rsidRPr="000A6D30">
        <w:rPr>
          <w:iCs/>
          <w:color w:val="000000"/>
        </w:rPr>
        <w:t>(2),</w:t>
      </w:r>
      <w:r w:rsidRPr="000A6D30">
        <w:rPr>
          <w:i/>
          <w:iCs/>
          <w:color w:val="000000"/>
        </w:rPr>
        <w:t xml:space="preserve"> </w:t>
      </w:r>
      <w:r w:rsidRPr="000A6D30">
        <w:rPr>
          <w:iCs/>
          <w:color w:val="000000"/>
        </w:rPr>
        <w:t>143-153</w:t>
      </w:r>
      <w:r w:rsidRPr="000A6D30">
        <w:rPr>
          <w:color w:val="000000"/>
        </w:rPr>
        <w:t>.</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r w:rsidRPr="000A6D30">
        <w:rPr>
          <w:color w:val="000000"/>
        </w:rPr>
        <w:t xml:space="preserve">Smith, L. T. (1999). </w:t>
      </w:r>
      <w:proofErr w:type="gramStart"/>
      <w:r w:rsidRPr="000A6D30">
        <w:rPr>
          <w:i/>
          <w:color w:val="000000"/>
        </w:rPr>
        <w:t>Decolonizing methodologies: Research and indigenous peoples</w:t>
      </w:r>
      <w:r w:rsidRPr="000A6D30">
        <w:rPr>
          <w:color w:val="000000"/>
        </w:rPr>
        <w:t>.</w:t>
      </w:r>
      <w:proofErr w:type="gramEnd"/>
      <w:r w:rsidRPr="000A6D30">
        <w:rPr>
          <w:color w:val="000000"/>
        </w:rPr>
        <w:t xml:space="preserve"> London: Zed Books.</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gramStart"/>
      <w:r w:rsidRPr="000A6D30">
        <w:rPr>
          <w:color w:val="000000"/>
        </w:rPr>
        <w:t>Snyder, S. L., &amp; Mitchell, D. T. (2006).</w:t>
      </w:r>
      <w:proofErr w:type="gramEnd"/>
      <w:r w:rsidRPr="000A6D30">
        <w:rPr>
          <w:color w:val="000000"/>
        </w:rPr>
        <w:t xml:space="preserve"> </w:t>
      </w:r>
      <w:proofErr w:type="gramStart"/>
      <w:r w:rsidRPr="000A6D30">
        <w:rPr>
          <w:i/>
          <w:color w:val="000000"/>
        </w:rPr>
        <w:t>Cultural locations of disability</w:t>
      </w:r>
      <w:r w:rsidRPr="000A6D30">
        <w:rPr>
          <w:color w:val="000000"/>
        </w:rPr>
        <w:t>.</w:t>
      </w:r>
      <w:proofErr w:type="gramEnd"/>
      <w:r w:rsidRPr="000A6D30">
        <w:rPr>
          <w:color w:val="000000"/>
        </w:rPr>
        <w:t xml:space="preserve"> Chicago: University of Chicago Press.</w:t>
      </w:r>
    </w:p>
    <w:p w:rsidR="00303BE1" w:rsidRPr="000A6D30" w:rsidRDefault="00303BE1" w:rsidP="00303BE1">
      <w:pPr>
        <w:ind w:left="720" w:hanging="720"/>
        <w:rPr>
          <w:color w:val="000000"/>
        </w:rPr>
      </w:pPr>
    </w:p>
    <w:p w:rsidR="00303BE1" w:rsidRPr="000A6D30" w:rsidRDefault="00303BE1" w:rsidP="00303BE1">
      <w:pPr>
        <w:ind w:left="720" w:hanging="720"/>
        <w:rPr>
          <w:color w:val="000000"/>
        </w:rPr>
      </w:pPr>
      <w:proofErr w:type="spellStart"/>
      <w:r w:rsidRPr="000A6D30">
        <w:rPr>
          <w:color w:val="000000"/>
        </w:rPr>
        <w:t>Spivak</w:t>
      </w:r>
      <w:proofErr w:type="spellEnd"/>
      <w:r w:rsidRPr="000A6D30">
        <w:rPr>
          <w:color w:val="000000"/>
        </w:rPr>
        <w:t xml:space="preserve">, G. C. (1999). </w:t>
      </w:r>
      <w:r w:rsidRPr="000A6D30">
        <w:rPr>
          <w:i/>
          <w:color w:val="000000"/>
        </w:rPr>
        <w:t>A critique of postcolonial reason: Toward a history of the vanishing present</w:t>
      </w:r>
      <w:r w:rsidRPr="000A6D30">
        <w:rPr>
          <w:color w:val="000000"/>
        </w:rPr>
        <w:t>. Cambridge, MA: Harvard University Press.</w:t>
      </w:r>
    </w:p>
    <w:p w:rsidR="00303BE1" w:rsidRPr="000A6D30" w:rsidRDefault="00303BE1" w:rsidP="00303BE1">
      <w:pPr>
        <w:ind w:left="720" w:hanging="720"/>
        <w:rPr>
          <w:color w:val="000000"/>
        </w:rPr>
      </w:pPr>
    </w:p>
    <w:p w:rsidR="00303BE1" w:rsidRDefault="00303BE1" w:rsidP="00303BE1">
      <w:pPr>
        <w:ind w:left="720" w:hanging="720"/>
        <w:rPr>
          <w:color w:val="000000"/>
        </w:rPr>
      </w:pPr>
      <w:r w:rsidRPr="000A6D30">
        <w:rPr>
          <w:color w:val="000000"/>
        </w:rPr>
        <w:t xml:space="preserve">Stone, E. (Ed.). (1999). </w:t>
      </w:r>
      <w:r w:rsidRPr="000A6D30">
        <w:rPr>
          <w:i/>
          <w:color w:val="000000"/>
        </w:rPr>
        <w:t>Disability and development: Learning from action and research on disability in the majority world</w:t>
      </w:r>
      <w:r w:rsidRPr="000A6D30">
        <w:rPr>
          <w:color w:val="000000"/>
        </w:rPr>
        <w:t>. Leeds: Disability Press.</w:t>
      </w:r>
    </w:p>
    <w:p w:rsidR="00303BE1" w:rsidRDefault="00303BE1" w:rsidP="00303BE1">
      <w:pPr>
        <w:ind w:left="720" w:hanging="720"/>
        <w:rPr>
          <w:color w:val="000000"/>
        </w:rPr>
      </w:pPr>
    </w:p>
    <w:p w:rsidR="00303BE1" w:rsidRDefault="00303BE1" w:rsidP="00303BE1">
      <w:pPr>
        <w:ind w:left="720" w:hanging="720"/>
        <w:rPr>
          <w:color w:val="000000"/>
        </w:rPr>
      </w:pPr>
      <w:proofErr w:type="spellStart"/>
      <w:r w:rsidRPr="000A6D30">
        <w:rPr>
          <w:color w:val="000000"/>
        </w:rPr>
        <w:t>Tarlo</w:t>
      </w:r>
      <w:proofErr w:type="spellEnd"/>
      <w:r w:rsidRPr="000A6D30">
        <w:rPr>
          <w:color w:val="000000"/>
        </w:rPr>
        <w:t xml:space="preserve">, E. (2003). </w:t>
      </w:r>
      <w:r w:rsidRPr="000A6D30">
        <w:rPr>
          <w:i/>
          <w:color w:val="000000"/>
        </w:rPr>
        <w:t>Unsettling memories: Narratives of the emergency in Delhi</w:t>
      </w:r>
      <w:r w:rsidRPr="000A6D30">
        <w:rPr>
          <w:color w:val="000000"/>
        </w:rPr>
        <w:t>. Berkeley, CA: University of California Press.</w:t>
      </w:r>
      <w:r>
        <w:rPr>
          <w:color w:val="000000"/>
        </w:rPr>
        <w:t xml:space="preserve"> </w:t>
      </w:r>
    </w:p>
    <w:p w:rsidR="00303BE1" w:rsidRDefault="00303BE1" w:rsidP="00303BE1">
      <w:pPr>
        <w:rPr>
          <w:color w:val="000000"/>
        </w:rPr>
      </w:pPr>
    </w:p>
    <w:p w:rsidR="00303BE1" w:rsidRDefault="00303BE1" w:rsidP="00303BE1">
      <w:pPr>
        <w:jc w:val="center"/>
        <w:rPr>
          <w:color w:val="000000"/>
        </w:rPr>
      </w:pPr>
      <w:r>
        <w:rPr>
          <w:color w:val="000000"/>
        </w:rPr>
        <w:t>Endnotes</w:t>
      </w:r>
    </w:p>
    <w:p w:rsidR="00303BE1" w:rsidRDefault="00303BE1" w:rsidP="00303BE1">
      <w:pPr>
        <w:jc w:val="center"/>
        <w:rPr>
          <w:color w:val="000000"/>
        </w:rPr>
      </w:pPr>
    </w:p>
    <w:p w:rsidR="00303BE1" w:rsidRPr="002E6A6F" w:rsidRDefault="00303BE1" w:rsidP="00303BE1">
      <w:pPr>
        <w:rPr>
          <w:sz w:val="20"/>
        </w:rPr>
      </w:pPr>
      <w:r>
        <w:rPr>
          <w:rStyle w:val="EndnoteReference"/>
          <w:rFonts w:eastAsia="SimSun"/>
          <w:sz w:val="20"/>
        </w:rPr>
        <w:t>1</w:t>
      </w:r>
      <w:r>
        <w:rPr>
          <w:rFonts w:eastAsia="SimSun"/>
          <w:sz w:val="20"/>
        </w:rPr>
        <w:t xml:space="preserve"> </w:t>
      </w:r>
      <w:r w:rsidRPr="002E6A6F">
        <w:rPr>
          <w:sz w:val="20"/>
        </w:rPr>
        <w:t xml:space="preserve">For the commoditization and consumption of postcolonial literary narratives, with reference to </w:t>
      </w:r>
      <w:r w:rsidRPr="002E6A6F">
        <w:rPr>
          <w:i/>
          <w:sz w:val="20"/>
        </w:rPr>
        <w:t>Midnight’s Children</w:t>
      </w:r>
      <w:r w:rsidRPr="002E6A6F">
        <w:rPr>
          <w:sz w:val="20"/>
        </w:rPr>
        <w:t>,</w:t>
      </w:r>
      <w:r w:rsidRPr="002E6A6F">
        <w:rPr>
          <w:i/>
          <w:sz w:val="20"/>
        </w:rPr>
        <w:t xml:space="preserve"> </w:t>
      </w:r>
      <w:r w:rsidRPr="002E6A6F">
        <w:rPr>
          <w:sz w:val="20"/>
        </w:rPr>
        <w:t xml:space="preserve">see </w:t>
      </w:r>
      <w:proofErr w:type="spellStart"/>
      <w:r w:rsidRPr="002E6A6F">
        <w:rPr>
          <w:sz w:val="20"/>
        </w:rPr>
        <w:t>Huggan</w:t>
      </w:r>
      <w:proofErr w:type="spellEnd"/>
      <w:r w:rsidRPr="002E6A6F">
        <w:rPr>
          <w:sz w:val="20"/>
        </w:rPr>
        <w:t xml:space="preserve"> (2001).</w:t>
      </w:r>
    </w:p>
    <w:p w:rsidR="00303BE1" w:rsidRPr="007A356E" w:rsidRDefault="00303BE1" w:rsidP="00303BE1">
      <w:pPr>
        <w:pStyle w:val="EndnoteText"/>
      </w:pPr>
      <w:r>
        <w:rPr>
          <w:rStyle w:val="EndnoteReference"/>
        </w:rPr>
        <w:t>2</w:t>
      </w:r>
      <w:r>
        <w:t xml:space="preserve"> </w:t>
      </w:r>
      <w:r w:rsidRPr="007A356E">
        <w:t>Mitchell and Snyder’s</w:t>
      </w:r>
      <w:r>
        <w:t xml:space="preserve"> forthcoming special issue of the </w:t>
      </w:r>
      <w:r>
        <w:rPr>
          <w:i/>
        </w:rPr>
        <w:t xml:space="preserve">Journal of Literary and Cultural Disability Studies </w:t>
      </w:r>
      <w:r>
        <w:t xml:space="preserve">on The </w:t>
      </w:r>
      <w:r>
        <w:lastRenderedPageBreak/>
        <w:t>Geopolitics of Disability will be important in establishing more globalized approaches to disability.</w:t>
      </w:r>
    </w:p>
    <w:p w:rsidR="00303BE1" w:rsidRPr="002E6A6F" w:rsidRDefault="00303BE1" w:rsidP="00303BE1">
      <w:pPr>
        <w:pStyle w:val="EndnoteText"/>
      </w:pPr>
      <w:r>
        <w:rPr>
          <w:rStyle w:val="EndnoteReference"/>
        </w:rPr>
        <w:t>3</w:t>
      </w:r>
      <w:r w:rsidRPr="002E6A6F">
        <w:t xml:space="preserve"> </w:t>
      </w:r>
      <w:proofErr w:type="gramStart"/>
      <w:r w:rsidRPr="002E6A6F">
        <w:t>Social science-based disability studies has</w:t>
      </w:r>
      <w:proofErr w:type="gramEnd"/>
      <w:r w:rsidRPr="002E6A6F">
        <w:t xml:space="preserve"> a longer history of research in global contexts. See, for example, Priestley (2001) and Stone (1999). Essays in these collections testify to the need to decolonize western research assumptions, which are often founded on western civil rights paradigms. Within literary </w:t>
      </w:r>
      <w:r>
        <w:t xml:space="preserve">disability </w:t>
      </w:r>
      <w:r w:rsidRPr="002E6A6F">
        <w:t xml:space="preserve">studies, </w:t>
      </w:r>
      <w:proofErr w:type="spellStart"/>
      <w:r w:rsidRPr="002E6A6F">
        <w:t>Quayson</w:t>
      </w:r>
      <w:proofErr w:type="spellEnd"/>
      <w:r w:rsidRPr="002E6A6F">
        <w:t xml:space="preserve"> (2007) notably engages with postcolonial theory in his analysis of literary texts.</w:t>
      </w:r>
    </w:p>
    <w:p w:rsidR="00303BE1" w:rsidRPr="002E6A6F" w:rsidRDefault="00303BE1" w:rsidP="00303BE1">
      <w:pPr>
        <w:pStyle w:val="EndnoteText"/>
      </w:pPr>
      <w:r>
        <w:rPr>
          <w:rStyle w:val="EndnoteReference"/>
        </w:rPr>
        <w:t>4</w:t>
      </w:r>
      <w:r>
        <w:t xml:space="preserve"> </w:t>
      </w:r>
      <w:r w:rsidRPr="002E6A6F">
        <w:t xml:space="preserve">For a detailed account of the events and politics of the Emergency, see </w:t>
      </w:r>
      <w:proofErr w:type="spellStart"/>
      <w:r w:rsidRPr="002E6A6F">
        <w:t>Tarlo</w:t>
      </w:r>
      <w:proofErr w:type="spellEnd"/>
      <w:r w:rsidRPr="002E6A6F">
        <w:t xml:space="preserve"> (2003).</w:t>
      </w:r>
    </w:p>
    <w:p w:rsidR="00303BE1" w:rsidRPr="00BD12FD" w:rsidRDefault="00303BE1" w:rsidP="00303BE1">
      <w:pPr>
        <w:pStyle w:val="EndnoteText"/>
      </w:pPr>
      <w:r>
        <w:rPr>
          <w:rStyle w:val="EndnoteReference"/>
        </w:rPr>
        <w:t>5</w:t>
      </w:r>
      <w:r w:rsidRPr="002E6A6F">
        <w:t xml:space="preserve"> For an extended version of this textual analysis, see Barker (2008).</w:t>
      </w:r>
    </w:p>
    <w:p w:rsidR="00477C51" w:rsidRDefault="00303BE1"/>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3BE1"/>
    <w:rsid w:val="00303BE1"/>
    <w:rsid w:val="004E179E"/>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BE1"/>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303BE1"/>
    <w:rPr>
      <w:rFonts w:cs="Times New Roman"/>
      <w:color w:val="0000FF"/>
      <w:u w:val="single"/>
    </w:rPr>
  </w:style>
  <w:style w:type="paragraph" w:styleId="EndnoteText">
    <w:name w:val="endnote text"/>
    <w:basedOn w:val="Normal"/>
    <w:link w:val="EndnoteTextChar"/>
    <w:rsid w:val="00303BE1"/>
    <w:pPr>
      <w:widowControl w:val="0"/>
      <w:overflowPunct w:val="0"/>
      <w:autoSpaceDE w:val="0"/>
      <w:autoSpaceDN w:val="0"/>
      <w:adjustRightInd w:val="0"/>
    </w:pPr>
    <w:rPr>
      <w:rFonts w:eastAsia="SimSun"/>
      <w:kern w:val="28"/>
      <w:sz w:val="20"/>
      <w:szCs w:val="20"/>
      <w:lang w:eastAsia="zh-CN"/>
    </w:rPr>
  </w:style>
  <w:style w:type="character" w:customStyle="1" w:styleId="EndnoteTextChar">
    <w:name w:val="Endnote Text Char"/>
    <w:basedOn w:val="DefaultParagraphFont"/>
    <w:link w:val="EndnoteText"/>
    <w:rsid w:val="00303BE1"/>
    <w:rPr>
      <w:rFonts w:ascii="Times New Roman" w:eastAsia="SimSun" w:hAnsi="Times New Roman" w:cs="Times New Roman"/>
      <w:kern w:val="28"/>
      <w:sz w:val="20"/>
      <w:szCs w:val="20"/>
      <w:lang w:val="en-GB" w:eastAsia="zh-CN" w:bidi="ar-SA"/>
    </w:rPr>
  </w:style>
  <w:style w:type="paragraph" w:customStyle="1" w:styleId="noindentprose">
    <w:name w:val="no indent prose"/>
    <w:basedOn w:val="Normal"/>
    <w:next w:val="Normal"/>
    <w:rsid w:val="00303BE1"/>
    <w:pPr>
      <w:overflowPunct w:val="0"/>
      <w:autoSpaceDE w:val="0"/>
      <w:autoSpaceDN w:val="0"/>
      <w:adjustRightInd w:val="0"/>
      <w:spacing w:line="480" w:lineRule="auto"/>
      <w:jc w:val="both"/>
      <w:textAlignment w:val="baseline"/>
    </w:pPr>
    <w:rPr>
      <w:szCs w:val="20"/>
      <w:lang w:val="en-US"/>
    </w:rPr>
  </w:style>
  <w:style w:type="paragraph" w:customStyle="1" w:styleId="prosequotation">
    <w:name w:val="prose quotation"/>
    <w:basedOn w:val="Normal"/>
    <w:next w:val="Normal"/>
    <w:link w:val="prosequotationChar"/>
    <w:rsid w:val="00303BE1"/>
    <w:pPr>
      <w:overflowPunct w:val="0"/>
      <w:autoSpaceDE w:val="0"/>
      <w:autoSpaceDN w:val="0"/>
      <w:adjustRightInd w:val="0"/>
      <w:spacing w:before="240" w:after="240"/>
      <w:ind w:left="720" w:right="720"/>
      <w:jc w:val="both"/>
      <w:textAlignment w:val="baseline"/>
    </w:pPr>
    <w:rPr>
      <w:szCs w:val="20"/>
      <w:lang w:val="en-US"/>
    </w:rPr>
  </w:style>
  <w:style w:type="character" w:customStyle="1" w:styleId="prosequotationChar">
    <w:name w:val="prose quotation Char"/>
    <w:basedOn w:val="DefaultParagraphFont"/>
    <w:link w:val="prosequotation"/>
    <w:rsid w:val="00303BE1"/>
    <w:rPr>
      <w:rFonts w:ascii="Times New Roman" w:eastAsia="Times New Roman" w:hAnsi="Times New Roman" w:cs="Times New Roman"/>
      <w:sz w:val="24"/>
      <w:szCs w:val="20"/>
      <w:lang w:bidi="ar-SA"/>
    </w:rPr>
  </w:style>
  <w:style w:type="character" w:styleId="EndnoteReference">
    <w:name w:val="endnote reference"/>
    <w:basedOn w:val="DefaultParagraphFont"/>
    <w:semiHidden/>
    <w:rsid w:val="00303BE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sq-sds.org/_articles_html/2005/summer/mitchell_snyder.asp" TargetMode="External"/><Relationship Id="rId4" Type="http://schemas.openxmlformats.org/officeDocument/2006/relationships/hyperlink" Target="mailto:c.f.barker@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5697</Words>
  <Characters>32476</Characters>
  <Application>Microsoft Office Word</Application>
  <DocSecurity>0</DocSecurity>
  <Lines>270</Lines>
  <Paragraphs>76</Paragraphs>
  <ScaleCrop>false</ScaleCrop>
  <Company/>
  <LinksUpToDate>false</LinksUpToDate>
  <CharactersWithSpaces>38097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2014-11-04T00:22:00Z</dcterms:created>
  <dcterms:modified xsi:type="dcterms:W3CDTF">2014-11-04T00:23:00Z</dcterms:modified>
</cp:coreProperties>
</file>