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97" w:rsidRPr="007A6497" w:rsidRDefault="007A6497" w:rsidP="007A6497">
      <w:pPr>
        <w:widowControl w:val="0"/>
        <w:autoSpaceDE w:val="0"/>
        <w:autoSpaceDN w:val="0"/>
        <w:adjustRightInd w:val="0"/>
        <w:jc w:val="center"/>
        <w:rPr>
          <w:rFonts w:cs="TimesNewRomanPSMT"/>
          <w:lang w:bidi="en-US"/>
        </w:rPr>
      </w:pPr>
      <w:bookmarkStart w:id="0" w:name="Ghai"/>
      <w:r w:rsidRPr="007A6497">
        <w:rPr>
          <w:rFonts w:cs="TimesNewRomanPSMT"/>
          <w:lang w:bidi="en-US"/>
        </w:rPr>
        <w:t>Guest Editorial</w:t>
      </w:r>
      <w:bookmarkEnd w:id="0"/>
      <w:r w:rsidRPr="007A6497">
        <w:rPr>
          <w:rFonts w:cs="TimesNewRomanPSMT"/>
          <w:lang w:bidi="en-US"/>
        </w:rPr>
        <w:t>: Human Security, Social Cohesion, and Disability</w:t>
      </w:r>
    </w:p>
    <w:p w:rsidR="007A6497" w:rsidRPr="007A6497" w:rsidRDefault="007A6497" w:rsidP="007A6497">
      <w:pPr>
        <w:widowControl w:val="0"/>
        <w:autoSpaceDE w:val="0"/>
        <w:autoSpaceDN w:val="0"/>
        <w:adjustRightInd w:val="0"/>
        <w:jc w:val="center"/>
        <w:rPr>
          <w:rFonts w:cs="TimesNewRomanPSMT"/>
          <w:lang w:bidi="en-US"/>
        </w:rPr>
      </w:pPr>
      <w:r w:rsidRPr="007A6497">
        <w:rPr>
          <w:rFonts w:cs="TimesNewRomanPSMT"/>
          <w:lang w:bidi="en-US"/>
        </w:rPr>
        <w:t>Anita Ghai, Ph.D.</w:t>
      </w:r>
    </w:p>
    <w:p w:rsidR="007A6497" w:rsidRPr="007A6497" w:rsidRDefault="007A6497" w:rsidP="007A6497">
      <w:pPr>
        <w:widowControl w:val="0"/>
        <w:autoSpaceDE w:val="0"/>
        <w:autoSpaceDN w:val="0"/>
        <w:adjustRightInd w:val="0"/>
        <w:jc w:val="center"/>
        <w:rPr>
          <w:rFonts w:cs="TimesNewRomanPSMT"/>
          <w:lang w:bidi="en-US"/>
        </w:rPr>
      </w:pPr>
      <w:r w:rsidRPr="007A6497">
        <w:rPr>
          <w:rFonts w:cs="TimesNewRomanPSMT"/>
          <w:lang w:bidi="en-US"/>
        </w:rPr>
        <w:t>Jesus and Mary College, India</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rPr>
          <w:rFonts w:cs="TimesNewRomanPSMT"/>
          <w:b/>
          <w:bCs/>
          <w:lang w:bidi="en-US"/>
        </w:rPr>
      </w:pPr>
      <w:r w:rsidRPr="007A6497">
        <w:rPr>
          <w:rFonts w:cs="TimesNewRomanPSMT"/>
          <w:b/>
          <w:bCs/>
          <w:lang w:bidi="en-US"/>
        </w:rPr>
        <w:t xml:space="preserve">Abstract: </w:t>
      </w:r>
      <w:r w:rsidRPr="007A6497">
        <w:rPr>
          <w:rFonts w:cs="TimesNewRomanPSMT"/>
          <w:bCs/>
          <w:lang w:bidi="en-US"/>
        </w:rPr>
        <w:t>The editorial underscores the issues of security in disabled people in context of poverty. The submission is that disabled people are not considered equal, as globalizing forces dominate the paradigm of profit.</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rPr>
          <w:rFonts w:cs="TimesNewRomanPSMT"/>
          <w:lang w:bidi="en-US"/>
        </w:rPr>
      </w:pPr>
      <w:r w:rsidRPr="007A6497">
        <w:rPr>
          <w:rFonts w:cs="TimesNewRomanPSMT"/>
          <w:b/>
          <w:bCs/>
          <w:lang w:bidi="en-US"/>
        </w:rPr>
        <w:t>Key Words</w:t>
      </w:r>
      <w:r w:rsidRPr="007A6497">
        <w:rPr>
          <w:rFonts w:cs="TimesNewRomanPSMT"/>
          <w:lang w:bidi="en-US"/>
        </w:rPr>
        <w:t>: developing countries, poverty, cohesion</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jc w:val="center"/>
        <w:rPr>
          <w:rFonts w:cs="TimesNewRomanPSMT"/>
          <w:lang w:bidi="en-US"/>
        </w:rPr>
      </w:pPr>
      <w:r w:rsidRPr="007A6497">
        <w:rPr>
          <w:rFonts w:cs="TimesNewRomanPSMT"/>
          <w:lang w:bidi="en-US"/>
        </w:rPr>
        <w:t>Introduction</w:t>
      </w:r>
    </w:p>
    <w:p w:rsidR="007A6497" w:rsidRPr="007A6497" w:rsidRDefault="007A6497" w:rsidP="007A6497">
      <w:pPr>
        <w:widowControl w:val="0"/>
        <w:autoSpaceDE w:val="0"/>
        <w:autoSpaceDN w:val="0"/>
        <w:adjustRightInd w:val="0"/>
        <w:jc w:val="center"/>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Evolving Disability Studies in terms of the themes of social cohesion, human security and social capital is significant. For too long disabled people have been marginalized and disqualified, debarred from “mainstream society”. There is no country in the world that can assertively claim that its disabled citizens have realized equal rights and equal opportunities. In developing countries, and I presume other developed countries, disabled people cannot attend school or college, gain employment, use public transport, and live independently – the basic rights that most non-disabled people take for granted. Disabled people do not require “rehabilitation needs”. It is critical that we understand the nuances of the identities of disabled people in terms of not only medical biographies. Disability, in the context of poverty, raises important questions about security, cohesion and productivity. The question is not whether we want to achieve these objectives, but what we are doing to accomplish concrete efforts. Though we want to cut world poverty by half in the Millennium Development Goals, disability as an issue is not included. Even if we somehow include disability into the developmental discourse we need to understand the dynamics of poverty. To begin with, we need to reflect on what is global poverty? Is it the same as reducing poverty in each country? What kind of poverty are we talking about? How can figures and targets capture all that is needed to provide for a person’s well-being? And when we move into the individual goals there are more questions. Similarly issues of security related to education, reproductive health rights, HIV/AIDS and most importantly health systems. What is there significant is understand the nuances of security and cohesion.</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jc w:val="center"/>
        <w:rPr>
          <w:rFonts w:cs="TimesNewRomanPSMT"/>
          <w:lang w:bidi="en-US"/>
        </w:rPr>
      </w:pPr>
      <w:r w:rsidRPr="007A6497">
        <w:rPr>
          <w:rFonts w:cs="TimesNewRomanPSMT"/>
          <w:lang w:bidi="en-US"/>
        </w:rPr>
        <w:t>Human Security</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As the Commission on Human Security (2003) indicates, “The protection of the vital core of all human lives in ways that enhance human freedoms and fulfillment.” In other words, human security is understood as security of survival (mortality/injury, health), security of livelihood (food, water, energy, environmental needs, shelter, and economic security), and dignity (basic human rights, capacity, participation).  In accepting these definitions</w:t>
      </w:r>
      <w:r w:rsidRPr="007A6497" w:rsidDel="00FE59D2">
        <w:rPr>
          <w:rFonts w:cs="TimesNewRomanPSMT"/>
          <w:lang w:bidi="en-US"/>
        </w:rPr>
        <w:t>, the</w:t>
      </w:r>
      <w:r w:rsidRPr="007A6497">
        <w:rPr>
          <w:rFonts w:cs="TimesNewRomanPSMT"/>
          <w:lang w:bidi="en-US"/>
        </w:rPr>
        <w:t xml:space="preserve"> question arises, Are people with disabilities secure? The answer does not seem to be positive, as disabled people are not fully integrated into our society. For many of us, a fundamental part of our daily life involves support that can maintain our bodily integrity. People with disabilities feel that the right of being secure and autonomous is not evident. Issues about disabled people’s security correlates with the abject poverty in the developing countries and perhaps to a lesser degree, the developed countries. While disabled activists in industrialized countries debate about issues such as independent living, assistance with care needs, and facilitated sex, disabled people in the majority of the world are still struggling for survival. My desire is not to create a dichotomy, but to point out the enormity of pressures that characterize the lives of those for whom disability is closely linked with poverty.</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As Misra and Tripathi (2001) point out, “Though manifest in concrete ways, the nature, causes, and consequences of poverty are difficult to articulate in precise terms. Being multifaceted and relative, a unidimensional characterization omits the range of factors bearing on the phenomena of poverty” (pp. 122-123). The 2006 Human Development Report (United Nations Development Programme, 2006) states that:</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left="720"/>
        <w:rPr>
          <w:rFonts w:cs="TimesNewRomanPSMT"/>
          <w:lang w:bidi="en-US"/>
        </w:rPr>
      </w:pPr>
      <w:r w:rsidRPr="007A6497">
        <w:rPr>
          <w:rFonts w:cs="TimesNewRomanPSMT"/>
          <w:lang w:bidi="en-US"/>
        </w:rPr>
        <w:t>“People with disabilities are among the most vulnerable members of society—and among the poorest. A vicious cycle links disability and chronic poverty: if you are poor you are more likely to be disabled, and if you are disabled you are more likely to be poor. In Ecuador 50% of people with disabilities belong to the lowest 40% of the income distribution. Similarly, surveys of the living conditions of disabled in Malawi, Namibia and Zimbabwe show that their average households’ incomes are a pittance. In Namibia 56% of households with a disabled member have no one employed in the formal sector, compared with 41% for households with no disabled members” (p. 114).</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Specifically, financial insecurity implies social vulnerability, as it results in subordination of disabled people who are discriminated against via inaccessibility to education, gender (women), and/or ableism. Further, this vulnerability destroys the individual’s feelings of efficiency, utility, and social competence, leading to a pessimistic view of society, marked by conflict, disorder, and injustice. The establishment of selfhood and identity do not come easily to those who accrue no social security and other benefits or receive such minimal amounts that leave them below subsistence levels, hardly - and not always - able to survive. Research indicates that 20% of the world's poorest people are disabled (United Nations, 2009).</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jc w:val="center"/>
        <w:rPr>
          <w:rFonts w:cs="TimesNewRomanPSMT"/>
          <w:lang w:bidi="en-US"/>
        </w:rPr>
      </w:pPr>
      <w:r w:rsidRPr="007A6497">
        <w:rPr>
          <w:rFonts w:cs="TimesNewRomanPSMT"/>
          <w:lang w:bidi="en-US"/>
        </w:rPr>
        <w:t>Poverty</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 xml:space="preserve">Poverty has been analyzed in innumerable ways. For example, the poverty line in India measures only the most basic calorie intake, recording not nutrition, but only the satiation of hunger. “At present, the poverty line stands at 368 rupees ($9.20 USD) and 559 rupees ($14 USD) per person per month for rural and urban areas respectively, just about enough to buy 650 grams of food grains every day. A nutritious diet itself would cost around 573 rupees ($ 15 USD) per capita per month, let alone the cost of securing other basic needs” (Infochange, 2009). However, such measures do not incorporate the costs of shelter, clothing, transport, fuel, health care, and education. According to </w:t>
      </w:r>
      <w:r w:rsidRPr="007A6497">
        <w:rPr>
          <w:rFonts w:cs="Arial"/>
          <w:szCs w:val="20"/>
          <w:lang w:eastAsia="en-CA"/>
        </w:rPr>
        <w:t>Guruswamy and Abraham (2009),</w:t>
      </w:r>
      <w:r w:rsidRPr="007A6497">
        <w:rPr>
          <w:rFonts w:cs="TimesNewRomanPSMT"/>
          <w:lang w:bidi="en-US"/>
        </w:rPr>
        <w:t xml:space="preserve"> the Indian Council of Medical Research (ICMR), prescribes 3,800 calories for an adult male doing heavy activity and 2,925 calories for an adult female carrying out heavy activity. Consequently, millions of poor, unskilled wage laborers in India who do heavy manual labor every day, a stipulation of 2,100 - 2,400 calories in urban and rural areas is grossly insufficient. Mabub ul Huq (as cited in Shariff, 1999, p. 45) states, “Nearly one-third of the total number of absolute poor in the world live in India. What is more distressing is that while 46% of India's people survive in absolute poverty…about two thirds are ‘capability poor’ i.e. they do not receive the minimum level of education and health care necessary for functioning human capabilities Notwithstanding the fact that official figures show a decrease in poverty, but the fact that only the basic calorie intake is considered as critical is alarming.</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The continued intolerance of disabilities in Indian society is reflected in the case of Hakimuddin Khan, a daily wage laborer of Kamalpur village in Bhadrak, Orissa. No longer able to sustain his three disabled children - Raffimuddin (35), Hapimuddin (33), and Mustaf (28) - Khan, has written to the President of India, the Prime Minister, and the chief minister in Orissa for permission to die. His plea states, “I have urged all of them to take the responsibility of my three disabled sons or else give us the permission to die. There is no point in living like a vegetable. None of them can stand or move an inch without the parents' help”. (Times of India, 2007) Such a scenario does not make disabled people safe. Insecurity stems from the fact that disabled people are unable largely to make themselves self-sufficient and are (dis)empowered financially through unemployment. It is the reason that people such as Hakimuddin Khan opt for their children dying rather than living. Consequently, people with disabilities lead a lonely and vulnerable life, almost devoid of any physical or emotional security. Within this context, there are instances when disabled people are not safe from their own families from abuse, bullying or at a high risk of neglect from a lack of responsiveness (ChildinIndia.org, 2009).</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A discussion of the definition of poverty in India is also relevant to an international audience because the one-dollar-a-day poverty line adopted by the United Nations borrows substantially from the Indian poverty line. This fact raises questions of how policymakers conceptualize poverty and whether there are opportunities for making poverty reduction strategies more effective through a re-identification of the nature and causes of poverty. Is there any recognition of the fact that poverty de-individualizes and alienates those affected from the mainstream of society? Marked by feelings of helplessness and hopelessness, poverty places limitations on the person, in terms of the personal and environmental resources to improve the quality of his or her life. “Researchers and advocacy groups have come to view poverty not simply as a lack of financial resources, but as both the cause and consequence of social exclusion.” (</w:t>
      </w:r>
      <w:r w:rsidRPr="007A6497">
        <w:rPr>
          <w:rFonts w:cs="Arial"/>
          <w:szCs w:val="20"/>
          <w:lang w:eastAsia="en-CA"/>
        </w:rPr>
        <w:t>Government of Newfoundland and Labrador-Canada, 2005).</w:t>
      </w:r>
      <w:r w:rsidRPr="007A6497">
        <w:rPr>
          <w:rFonts w:cs="TimesNewRomanPSMT"/>
          <w:lang w:bidi="en-US"/>
        </w:rPr>
        <w:t xml:space="preserve"> Also, a lack of money and resources prevents individuals from fully participating in the social and economic activities of their communities. In this context, a community with a strong sense of identity and shared goals is considered to be more cohesive than one without these qualities. Can disabled people be cohesive and part of the community? (Mehta, 2008). Are the disabled people tightly joined, stout and unified in a community?</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As an optimist, Tavee Cheausuwantavee uses participation action research in context of appropriateness and consciousness in community suggests implications which indicate that (1) a philanthropic model, a medical model and a social model can be integrated into the CBR approach. Thus CBR is not only a social model, but may also be a medico-social model, a philanthropic-social model, as well as a philanthropic-medical model corresponding to the particular community context. (2) Further studies of consciousness, meaning, and discourse on CBR within particular contexts need to be done in order to gain more understanding and expanding the body of knowledge of CBR and disabilities.</w:t>
      </w:r>
    </w:p>
    <w:p w:rsidR="007A6497" w:rsidRPr="007A6497" w:rsidRDefault="007A6497" w:rsidP="007A6497">
      <w:pPr>
        <w:widowControl w:val="0"/>
        <w:autoSpaceDE w:val="0"/>
        <w:autoSpaceDN w:val="0"/>
        <w:adjustRightInd w:val="0"/>
        <w:rPr>
          <w:rFonts w:cs="TimesNewRomanPSMT"/>
          <w:lang w:bidi="en-US"/>
        </w:rPr>
      </w:pPr>
    </w:p>
    <w:p w:rsidR="007A6497" w:rsidRPr="007A6497" w:rsidRDefault="007A6497" w:rsidP="007A6497">
      <w:pPr>
        <w:widowControl w:val="0"/>
        <w:autoSpaceDE w:val="0"/>
        <w:autoSpaceDN w:val="0"/>
        <w:adjustRightInd w:val="0"/>
        <w:ind w:firstLine="720"/>
        <w:rPr>
          <w:rFonts w:cs="TimesNewRomanPSMT"/>
          <w:lang w:bidi="en-US"/>
        </w:rPr>
      </w:pPr>
      <w:r w:rsidRPr="007A6497">
        <w:rPr>
          <w:rFonts w:cs="TimesNewRomanPSMT"/>
          <w:lang w:bidi="en-US"/>
        </w:rPr>
        <w:t>Another strand of understanding disability discourse appears in Kabbara’s article. Kabbara indicates that resistance and agency of working against the oppression of disabled people is definitely getting “mainstreamed.” According to Kabbara, in war-torn Lebanon the difference between disabled and nondisabled people is getting mixed up, without clear-cut distinction, and in many instances, disability is temporary (such as long-lasting injuries). In some cases, this difference is less than permanent or is recurrent (e.g., people with psychosocial disability, survivors). Indeed, the war and violence-causing trauma have a significant impact on the mental health of the entire population and particularly of youth and children. Indeed, psychological trauma itself is the most widespread disability resulting from the repeated civil wars and armed conflicts. As one of Kabbara’s respondents, Amina, (a female NGO staff with mild physical disability) says, “Yes, disability is becoming a political agenda now. People see it as a human rights issue, as recently our civil conflicts have increased the scope of disability in this country. But people are not yet interested in us, disabled women or those with congenital disability. Particularly women with intellectual disability are so marginalized.”</w:t>
      </w:r>
    </w:p>
    <w:p w:rsidR="007A6497" w:rsidRPr="007A6497" w:rsidRDefault="007A6497" w:rsidP="007A6497">
      <w:pPr>
        <w:widowControl w:val="0"/>
        <w:autoSpaceDE w:val="0"/>
        <w:autoSpaceDN w:val="0"/>
        <w:adjustRightInd w:val="0"/>
        <w:ind w:firstLine="720"/>
        <w:rPr>
          <w:rFonts w:cs="TimesNewRomanPSMT"/>
          <w:lang w:bidi="en-US"/>
        </w:rPr>
      </w:pPr>
    </w:p>
    <w:p w:rsidR="007A6497" w:rsidRPr="007A6497" w:rsidRDefault="007A6497" w:rsidP="007A6497">
      <w:pPr>
        <w:widowControl w:val="0"/>
        <w:autoSpaceDE w:val="0"/>
        <w:autoSpaceDN w:val="0"/>
        <w:adjustRightInd w:val="0"/>
        <w:ind w:firstLine="720"/>
        <w:rPr>
          <w:rFonts w:cs="TimesNewRomanPSMT"/>
          <w:spacing w:val="-1"/>
          <w:kern w:val="1"/>
          <w:lang w:bidi="en-US"/>
        </w:rPr>
      </w:pPr>
      <w:r w:rsidRPr="007A6497">
        <w:rPr>
          <w:rFonts w:cs="TimesNewRomanPSMT"/>
          <w:lang w:bidi="en-US"/>
        </w:rPr>
        <w:t>While there is hope for alleviating suffering and feeling secure, international realities should make us realize the dangers within which disabled people live. What is upsetting is that insurgency in Afghanistan gathers exigency, the Taliban and other forces are recruiting marginalized and vulnerable groups to carry out suicide attacks while men from their own ranks keep up the ground offensive. “Almost 90 per cent of [suicide bombers] are people with some form of disability," indicated forensic expert Yusuf Yadgari (as cited in Fatah, 2007). He also stated that disabilities such as “muscular dystrophy, amputated toes, blindness, skin diseases and signs of mental illness were detected in the bodies of suicide bombers.”  As Firoz Ali Alizada who lost his legs to a land mine realizes that disability seems to be associated with shame and the belief is that “there is complete loss of hope in being able to live a normal life” (as cited in Fatah, 2007). Usually people who are “incapable” of supporting and feeding their families are encouraged to be suicide bombers, as there are financial incentives. In a place like Afghanistan where there is a very weak economy, disabled people’s security becomes problematic (Fatah, 2007)</w:t>
      </w:r>
    </w:p>
    <w:p w:rsidR="007A6497" w:rsidRPr="007A6497" w:rsidRDefault="007A6497" w:rsidP="007A6497">
      <w:pPr>
        <w:widowControl w:val="0"/>
        <w:autoSpaceDE w:val="0"/>
        <w:autoSpaceDN w:val="0"/>
        <w:adjustRightInd w:val="0"/>
        <w:ind w:firstLine="720"/>
        <w:rPr>
          <w:rFonts w:cs="TimesNewRomanPSMT"/>
          <w:spacing w:val="-1"/>
          <w:kern w:val="1"/>
          <w:lang w:bidi="en-US"/>
        </w:rPr>
      </w:pPr>
    </w:p>
    <w:p w:rsidR="007A6497" w:rsidRPr="007A6497" w:rsidRDefault="007A6497" w:rsidP="007A6497">
      <w:pPr>
        <w:widowControl w:val="0"/>
        <w:autoSpaceDE w:val="0"/>
        <w:autoSpaceDN w:val="0"/>
        <w:adjustRightInd w:val="0"/>
        <w:jc w:val="center"/>
        <w:rPr>
          <w:rFonts w:cs="TimesNewRomanPSMT"/>
          <w:spacing w:val="-1"/>
          <w:kern w:val="1"/>
          <w:lang w:bidi="en-US"/>
        </w:rPr>
      </w:pPr>
      <w:r w:rsidRPr="007A6497">
        <w:rPr>
          <w:rFonts w:cs="TimesNewRomanPSMT"/>
          <w:spacing w:val="-1"/>
          <w:kern w:val="1"/>
          <w:lang w:bidi="en-US"/>
        </w:rPr>
        <w:t>Power</w:t>
      </w:r>
    </w:p>
    <w:p w:rsidR="007A6497" w:rsidRPr="007A6497" w:rsidRDefault="007A6497" w:rsidP="007A6497">
      <w:pPr>
        <w:widowControl w:val="0"/>
        <w:autoSpaceDE w:val="0"/>
        <w:autoSpaceDN w:val="0"/>
        <w:adjustRightInd w:val="0"/>
        <w:ind w:firstLine="720"/>
        <w:rPr>
          <w:rFonts w:cs="TimesNewRomanPSMT"/>
          <w:spacing w:val="-1"/>
          <w:kern w:val="1"/>
          <w:lang w:bidi="en-US"/>
        </w:rPr>
      </w:pPr>
    </w:p>
    <w:p w:rsidR="007A6497" w:rsidRPr="007A6497" w:rsidRDefault="007A6497" w:rsidP="007A6497">
      <w:pPr>
        <w:widowControl w:val="0"/>
        <w:autoSpaceDE w:val="0"/>
        <w:autoSpaceDN w:val="0"/>
        <w:adjustRightInd w:val="0"/>
        <w:ind w:firstLine="720"/>
        <w:rPr>
          <w:rFonts w:cs="TimesNewRomanPSMT"/>
          <w:kern w:val="1"/>
          <w:lang w:bidi="en-US"/>
        </w:rPr>
      </w:pPr>
      <w:r w:rsidRPr="007A6497">
        <w:rPr>
          <w:rFonts w:cs="TimesNewRomanPSMT"/>
          <w:spacing w:val="-1"/>
          <w:kern w:val="1"/>
          <w:lang w:bidi="en-US"/>
        </w:rPr>
        <w:t>In this forum</w:t>
      </w:r>
      <w:r w:rsidRPr="007A6497">
        <w:rPr>
          <w:rFonts w:cs="TimesNewRomanPSMT"/>
          <w:kern w:val="1"/>
          <w:lang w:bidi="en-US"/>
        </w:rPr>
        <w:t xml:space="preserve">, Mary Anne Burke analyzes the power issues in an ablest society.  I identify with these issues because, </w:t>
      </w:r>
      <w:r w:rsidRPr="007A6497">
        <w:rPr>
          <w:rFonts w:cs="TimesNewRomanPSMT"/>
          <w:lang w:bidi="en-US"/>
        </w:rPr>
        <w:t xml:space="preserve">“Whether </w:t>
      </w:r>
      <w:r w:rsidRPr="007A6497">
        <w:rPr>
          <w:rFonts w:cs="TimesNewRomanPSMT"/>
          <w:spacing w:val="2"/>
          <w:kern w:val="1"/>
          <w:lang w:bidi="en-US"/>
        </w:rPr>
        <w:t xml:space="preserve">we, who are designated as 'different' do not see ourselves as ‘dalit,’ </w:t>
      </w:r>
      <w:r w:rsidRPr="007A6497">
        <w:rPr>
          <w:rFonts w:cs="TimesNewRomanPSMT"/>
          <w:spacing w:val="4"/>
          <w:kern w:val="1"/>
          <w:lang w:bidi="en-US"/>
        </w:rPr>
        <w:t xml:space="preserve">poor, crippled, or disabled, these terms nevertheless describe an </w:t>
      </w:r>
      <w:r w:rsidRPr="007A6497">
        <w:rPr>
          <w:rFonts w:cs="TimesNewRomanPSMT"/>
          <w:spacing w:val="1"/>
          <w:kern w:val="1"/>
          <w:lang w:bidi="en-US"/>
        </w:rPr>
        <w:t xml:space="preserve">essential reality in a society tuned to the tyranny of normality and </w:t>
      </w:r>
      <w:r w:rsidRPr="007A6497">
        <w:rPr>
          <w:rFonts w:cs="TimesNewRomanPSMT"/>
          <w:spacing w:val="-1"/>
          <w:kern w:val="1"/>
          <w:lang w:bidi="en-US"/>
        </w:rPr>
        <w:t xml:space="preserve">perfection” (Ghai, 2003, p.17). </w:t>
      </w:r>
      <w:r w:rsidRPr="007A6497">
        <w:rPr>
          <w:rFonts w:cs="TimesNewRomanPSMT"/>
          <w:kern w:val="1"/>
          <w:lang w:bidi="en-US"/>
        </w:rPr>
        <w:t>As Burke explains, “Power structures within a society serve to reinforce and maintain the ableist hierarchy and the distribution of resources according to an individual’s position within the hierarchy. The machinery of oppression– in this case institutionalized ableism is maintained by cultural, economic, political, trade, monetary, health and other systems.” In an era of globalization, the emphasis on power and profit has systematically dislodged vulnerable groups from access to even basic resources such as food and livelihood (Sadgopal, 2006). I argue that the increasing privatization and a recasting of citizens as consumers results in the state losing power because the locus of control shifts from the public domain of politics to an individualized and privatized world of economic cost and benefit analysis. This privileges the paradigm of profit over humanity, which then pervades all aspects of life. Access to capital and markets is controlled by relatively small elites, primarily male-centric and mostly based in rich countries. For the developing countries this leads to an ever-increasing estrangement with the marginalized groups. The most devastating impact of the neo-liberal policies is that they restrict the revenue of the state for use for welfare purposes. Though we claim that human rights imply equality for every disabled person, Keenan Malik disagrees, “Equality cannot have any meaning in the plural. Equality cannot be relative, with different meanings for different social, cultural or sexual groups. If so it ceases to be equality at all, or rather becomes equality in the way - 'equal but different' - in defending segregation” (Malik, 1998). Thus for people with disabilities to be secure, equality requires a common yardstick, or measure of judgment, not a plurality of meanings. What is clear is that we must understand disability both in its social construction and material inequalities.</w:t>
      </w:r>
    </w:p>
    <w:p w:rsidR="007A6497" w:rsidRPr="007A6497" w:rsidRDefault="007A6497" w:rsidP="007A6497">
      <w:pPr>
        <w:widowControl w:val="0"/>
        <w:autoSpaceDE w:val="0"/>
        <w:autoSpaceDN w:val="0"/>
        <w:adjustRightInd w:val="0"/>
        <w:ind w:firstLine="720"/>
        <w:rPr>
          <w:rFonts w:cs="TimesNewRomanPSMT"/>
          <w:kern w:val="1"/>
          <w:lang w:bidi="en-US"/>
        </w:rPr>
      </w:pPr>
    </w:p>
    <w:p w:rsidR="007A6497" w:rsidRPr="007A6497" w:rsidRDefault="007A6497" w:rsidP="007A6497">
      <w:pPr>
        <w:widowControl w:val="0"/>
        <w:autoSpaceDE w:val="0"/>
        <w:autoSpaceDN w:val="0"/>
        <w:adjustRightInd w:val="0"/>
        <w:ind w:firstLine="720"/>
        <w:rPr>
          <w:rFonts w:cs="TimesNewRomanPSMT"/>
          <w:kern w:val="1"/>
          <w:lang w:bidi="en-US"/>
        </w:rPr>
      </w:pPr>
      <w:r w:rsidRPr="007A6497">
        <w:rPr>
          <w:rFonts w:cs="TimesNewRomanPSMT"/>
          <w:kern w:val="1"/>
          <w:lang w:bidi="en-US"/>
        </w:rPr>
        <w:t>In my mind, inclusion of disabled people remains an unrealized belief.  I believe that social</w:t>
      </w:r>
      <w:r w:rsidRPr="007A6497">
        <w:rPr>
          <w:rFonts w:cs="TimesNewRomanPSMT"/>
          <w:kern w:val="1"/>
          <w:vertAlign w:val="superscript"/>
          <w:lang w:bidi="en-US"/>
        </w:rPr>
        <w:t xml:space="preserve"> </w:t>
      </w:r>
      <w:r w:rsidRPr="007A6497">
        <w:rPr>
          <w:rFonts w:cs="TimesNewRomanPSMT"/>
          <w:kern w:val="1"/>
          <w:lang w:bidi="en-US"/>
        </w:rPr>
        <w:t>capital has the potential to engender improvements</w:t>
      </w:r>
      <w:r w:rsidRPr="007A6497">
        <w:rPr>
          <w:rFonts w:cs="TimesNewRomanPSMT"/>
          <w:kern w:val="1"/>
          <w:vertAlign w:val="superscript"/>
          <w:lang w:bidi="en-US"/>
        </w:rPr>
        <w:t xml:space="preserve"> </w:t>
      </w:r>
      <w:r w:rsidRPr="007A6497">
        <w:rPr>
          <w:rFonts w:cs="TimesNewRomanPSMT"/>
          <w:kern w:val="1"/>
          <w:lang w:bidi="en-US"/>
        </w:rPr>
        <w:t>in health, education, community care, community revival, and protective employment. However, the fundamental opportunities</w:t>
      </w:r>
      <w:r w:rsidRPr="007A6497">
        <w:rPr>
          <w:rFonts w:cs="TimesNewRomanPSMT"/>
          <w:kern w:val="1"/>
          <w:vertAlign w:val="superscript"/>
          <w:lang w:bidi="en-US"/>
        </w:rPr>
        <w:t xml:space="preserve"> </w:t>
      </w:r>
      <w:r w:rsidRPr="007A6497">
        <w:rPr>
          <w:rFonts w:cs="TimesNewRomanPSMT"/>
          <w:kern w:val="1"/>
          <w:lang w:bidi="en-US"/>
        </w:rPr>
        <w:t>to accrue social capital for disabled people so that their existing contributions are not undervalued.</w:t>
      </w:r>
    </w:p>
    <w:p w:rsidR="007A6497" w:rsidRPr="007A6497" w:rsidRDefault="007A6497" w:rsidP="007A6497">
      <w:pPr>
        <w:widowControl w:val="0"/>
        <w:autoSpaceDE w:val="0"/>
        <w:autoSpaceDN w:val="0"/>
        <w:adjustRightInd w:val="0"/>
      </w:pPr>
    </w:p>
    <w:p w:rsidR="007A6497" w:rsidRPr="007A6497" w:rsidRDefault="007A6497" w:rsidP="007A6497">
      <w:pPr>
        <w:spacing w:after="100" w:afterAutospacing="1"/>
      </w:pPr>
      <w:r w:rsidRPr="007A6497">
        <w:rPr>
          <w:b/>
        </w:rPr>
        <w:t>Anita Ghai, Ph.D.,</w:t>
      </w:r>
      <w:r w:rsidRPr="007A6497">
        <w:t xml:space="preserve"> is a reader at the Department of Psychology at Jesus and Mary College. She can be contacted at: J12/68 B Rajouri Garden New Delhi, 110027 India 110027. Email: anita.satyapal@gmail.com</w:t>
      </w:r>
    </w:p>
    <w:p w:rsidR="007A6497" w:rsidRPr="007A6497" w:rsidRDefault="007A6497" w:rsidP="007A6497">
      <w:pPr>
        <w:jc w:val="center"/>
      </w:pPr>
      <w:r w:rsidRPr="007A6497">
        <w:fldChar w:fldCharType="begin"/>
      </w:r>
      <w:r w:rsidRPr="007A6497">
        <w:instrText xml:space="preserve"> ADDIN REFMGR.REFLIST </w:instrText>
      </w:r>
      <w:r w:rsidRPr="007A6497">
        <w:fldChar w:fldCharType="separate"/>
      </w:r>
      <w:r w:rsidRPr="007A6497">
        <w:t>References</w:t>
      </w:r>
    </w:p>
    <w:p w:rsidR="007A6497" w:rsidRPr="007A6497" w:rsidRDefault="007A6497" w:rsidP="007A6497">
      <w:pPr>
        <w:jc w:val="center"/>
      </w:pPr>
    </w:p>
    <w:p w:rsidR="007A6497" w:rsidRPr="007A6497" w:rsidRDefault="007A6497" w:rsidP="007A6497">
      <w:pPr>
        <w:tabs>
          <w:tab w:val="left" w:pos="0"/>
        </w:tabs>
        <w:spacing w:after="240"/>
        <w:ind w:left="720" w:hanging="720"/>
      </w:pPr>
      <w:r w:rsidRPr="007A6497">
        <w:t xml:space="preserve">ChildinIndia.org (2009). </w:t>
      </w:r>
      <w:r w:rsidRPr="007A6497">
        <w:rPr>
          <w:i/>
        </w:rPr>
        <w:t>Protecting children with disabilities from vulnerability and discrimination.</w:t>
      </w:r>
      <w:r w:rsidRPr="007A6497">
        <w:t xml:space="preserve"> Retrieved June 17, 2009, from </w:t>
      </w:r>
      <w:hyperlink r:id="rId4" w:history="1">
        <w:r w:rsidRPr="007A6497">
          <w:rPr>
            <w:rStyle w:val="Hyperlink"/>
            <w:color w:val="auto"/>
            <w:u w:val="none"/>
          </w:rPr>
          <w:t>http://www.childlineindia.org.in/cr-disability.htm</w:t>
        </w:r>
      </w:hyperlink>
    </w:p>
    <w:p w:rsidR="007A6497" w:rsidRPr="007A6497" w:rsidRDefault="007A6497" w:rsidP="007A6497">
      <w:pPr>
        <w:tabs>
          <w:tab w:val="left" w:pos="0"/>
        </w:tabs>
        <w:spacing w:after="240"/>
        <w:ind w:left="720" w:hanging="720"/>
      </w:pPr>
      <w:r w:rsidRPr="007A6497">
        <w:t xml:space="preserve">Commission on Human Security (2003). </w:t>
      </w:r>
      <w:r w:rsidRPr="007A6497">
        <w:rPr>
          <w:i/>
        </w:rPr>
        <w:t>Human security now</w:t>
      </w:r>
      <w:r w:rsidRPr="007A6497">
        <w:t xml:space="preserve">. Retrieved June 17, 2009, from  </w:t>
      </w:r>
      <w:hyperlink r:id="rId5" w:history="1">
        <w:r w:rsidRPr="007A6497">
          <w:rPr>
            <w:rStyle w:val="Hyperlink"/>
            <w:color w:val="auto"/>
            <w:u w:val="none"/>
          </w:rPr>
          <w:t>http://www.humansecurity-chs.org/finalreport/index.html</w:t>
        </w:r>
      </w:hyperlink>
      <w:r w:rsidRPr="007A6497">
        <w:t xml:space="preserve">  </w:t>
      </w:r>
      <w:hyperlink r:id="rId6" w:history="1">
        <w:r w:rsidRPr="007A6497">
          <w:rPr>
            <w:rStyle w:val="Hyperlink"/>
            <w:color w:val="auto"/>
            <w:u w:val="none"/>
          </w:rPr>
          <w:t>http://www.humansecurity-chs.org/finalreport/English/FinalReport.pdf</w:t>
        </w:r>
      </w:hyperlink>
      <w:r w:rsidRPr="007A6497">
        <w:t xml:space="preserve"> </w:t>
      </w:r>
    </w:p>
    <w:p w:rsidR="007A6497" w:rsidRPr="007A6497" w:rsidRDefault="007A6497" w:rsidP="007A6497">
      <w:pPr>
        <w:tabs>
          <w:tab w:val="left" w:pos="0"/>
        </w:tabs>
        <w:spacing w:after="240"/>
        <w:ind w:left="720" w:hanging="720"/>
      </w:pPr>
      <w:r w:rsidRPr="007A6497">
        <w:t xml:space="preserve">Ghai, A. (2003) </w:t>
      </w:r>
      <w:r w:rsidRPr="007A6497">
        <w:rPr>
          <w:i/>
        </w:rPr>
        <w:t>(Dis) Embodied form: Issues of disabled women</w:t>
      </w:r>
      <w:r w:rsidRPr="007A6497">
        <w:t>. New Delhi, India: Har-Anand.</w:t>
      </w:r>
    </w:p>
    <w:p w:rsidR="007A6497" w:rsidRPr="007A6497" w:rsidRDefault="007A6497" w:rsidP="007A6497">
      <w:pPr>
        <w:tabs>
          <w:tab w:val="left" w:pos="0"/>
        </w:tabs>
        <w:spacing w:after="240"/>
        <w:ind w:left="720" w:hanging="720"/>
      </w:pPr>
      <w:r w:rsidRPr="007A6497">
        <w:t xml:space="preserve">Government of Newfoundland and Labrador-Canada. (2005). </w:t>
      </w:r>
      <w:r w:rsidRPr="007A6497">
        <w:rPr>
          <w:i/>
        </w:rPr>
        <w:t>Building pathways to poverty reduction</w:t>
      </w:r>
      <w:r w:rsidRPr="007A6497">
        <w:t xml:space="preserve">. Retrieved June 17, 2009, from </w:t>
      </w:r>
      <w:hyperlink r:id="rId7" w:history="1">
        <w:r w:rsidRPr="007A6497">
          <w:rPr>
            <w:rStyle w:val="Hyperlink"/>
            <w:color w:val="auto"/>
            <w:u w:val="none"/>
          </w:rPr>
          <w:t>http://www.releases.gov.nl.ca/releases/2005/hrle/0321n22.htm</w:t>
        </w:r>
      </w:hyperlink>
    </w:p>
    <w:p w:rsidR="007A6497" w:rsidRPr="007A6497" w:rsidRDefault="007A6497" w:rsidP="007A6497">
      <w:pPr>
        <w:tabs>
          <w:tab w:val="left" w:pos="0"/>
        </w:tabs>
        <w:spacing w:after="240"/>
        <w:ind w:left="720" w:hanging="720"/>
      </w:pPr>
      <w:r w:rsidRPr="007A6497">
        <w:t xml:space="preserve">Guruswamy, M., &amp; Abraham, R. J. (2009). </w:t>
      </w:r>
      <w:r w:rsidRPr="007A6497">
        <w:rPr>
          <w:i/>
        </w:rPr>
        <w:t>The poverty line is a starvation line</w:t>
      </w:r>
      <w:r w:rsidRPr="007A6497">
        <w:t xml:space="preserve">. Retrieved June 17, 2009, from </w:t>
      </w:r>
      <w:hyperlink r:id="rId8" w:history="1">
        <w:r w:rsidRPr="007A6497">
          <w:rPr>
            <w:rStyle w:val="Hyperlink"/>
            <w:color w:val="auto"/>
            <w:u w:val="none"/>
          </w:rPr>
          <w:t>http://infochangeindia.org/index2.php?option=com_content&amp;do_pdf=1&amp;id=5662</w:t>
        </w:r>
      </w:hyperlink>
    </w:p>
    <w:p w:rsidR="007A6497" w:rsidRPr="007A6497" w:rsidRDefault="007A6497" w:rsidP="007A6497">
      <w:pPr>
        <w:tabs>
          <w:tab w:val="left" w:pos="0"/>
        </w:tabs>
        <w:spacing w:after="240"/>
        <w:ind w:left="720" w:hanging="720"/>
      </w:pPr>
      <w:r w:rsidRPr="007A6497">
        <w:t xml:space="preserve">Infochange Agenda. (2009). </w:t>
      </w:r>
      <w:r w:rsidRPr="007A6497">
        <w:rPr>
          <w:i/>
        </w:rPr>
        <w:t>Food security</w:t>
      </w:r>
      <w:r w:rsidRPr="007A6497">
        <w:t xml:space="preserve">. Retrieved June 17, 2009, from </w:t>
      </w:r>
      <w:hyperlink r:id="rId9" w:history="1">
        <w:r w:rsidRPr="007A6497">
          <w:rPr>
            <w:rStyle w:val="Hyperlink"/>
            <w:color w:val="auto"/>
            <w:u w:val="none"/>
          </w:rPr>
          <w:t>http://infochangeindia.org/Agenda/Hunger-Has-Fallen-Off-The-Map/</w:t>
        </w:r>
      </w:hyperlink>
    </w:p>
    <w:p w:rsidR="007A6497" w:rsidRPr="007A6497" w:rsidRDefault="007A6497" w:rsidP="007A6497">
      <w:pPr>
        <w:tabs>
          <w:tab w:val="left" w:pos="0"/>
        </w:tabs>
        <w:spacing w:after="240"/>
        <w:ind w:left="720" w:hanging="720"/>
      </w:pPr>
      <w:r w:rsidRPr="007A6497">
        <w:t xml:space="preserve">Malik, K. (1998). Race, pluralism and the meaning of difference. </w:t>
      </w:r>
      <w:r w:rsidRPr="007A6497">
        <w:rPr>
          <w:i/>
        </w:rPr>
        <w:t>New Formation, 33</w:t>
      </w:r>
      <w:r w:rsidRPr="007A6497">
        <w:t>.</w:t>
      </w:r>
    </w:p>
    <w:p w:rsidR="007A6497" w:rsidRPr="007A6497" w:rsidRDefault="007A6497" w:rsidP="007A6497">
      <w:pPr>
        <w:tabs>
          <w:tab w:val="left" w:pos="0"/>
        </w:tabs>
        <w:spacing w:after="240"/>
        <w:ind w:left="720" w:hanging="720"/>
      </w:pPr>
      <w:r w:rsidRPr="007A6497">
        <w:t xml:space="preserve">Mehta, M. D. (2007). </w:t>
      </w:r>
      <w:r w:rsidRPr="007A6497">
        <w:rPr>
          <w:i/>
        </w:rPr>
        <w:t>Agricultural biotechnology and social cohesion: Is the social fabric of rural communities at risk?</w:t>
      </w:r>
      <w:r w:rsidRPr="007A6497">
        <w:t xml:space="preserve"> Retrieved June 17, 2009, from </w:t>
      </w:r>
      <w:hyperlink r:id="rId10" w:history="1">
        <w:r w:rsidRPr="007A6497">
          <w:rPr>
            <w:rStyle w:val="Hyperlink"/>
            <w:color w:val="auto"/>
            <w:u w:val="none"/>
          </w:rPr>
          <w:t>http://policynut.uwinnipeg.ca/mehta-cwss-proceedings.dochttp://www.ubcpress.ca/books/pdf/chapters/mehta/chapone.pdf</w:t>
        </w:r>
      </w:hyperlink>
    </w:p>
    <w:p w:rsidR="007A6497" w:rsidRPr="007A6497" w:rsidRDefault="007A6497" w:rsidP="007A6497">
      <w:pPr>
        <w:tabs>
          <w:tab w:val="left" w:pos="0"/>
        </w:tabs>
        <w:spacing w:after="240"/>
        <w:ind w:left="720" w:hanging="720"/>
      </w:pPr>
      <w:r w:rsidRPr="007A6497">
        <w:t xml:space="preserve">Misra, G., &amp; Tripathi, K. N. (2001). Psychological dimensions of poverty and deprivation. In J. Pandey (Ed.), </w:t>
      </w:r>
      <w:r w:rsidRPr="007A6497">
        <w:rPr>
          <w:i/>
        </w:rPr>
        <w:t>Psychology in India revisited: Developments in the discipline: Volume 3. Applied social psychology &amp; Organizational Psychology.</w:t>
      </w:r>
      <w:r w:rsidRPr="007A6497">
        <w:t xml:space="preserve"> New Delhi, India: Sage Publications.</w:t>
      </w:r>
    </w:p>
    <w:p w:rsidR="007A6497" w:rsidRPr="007A6497" w:rsidRDefault="007A6497" w:rsidP="007A6497">
      <w:pPr>
        <w:tabs>
          <w:tab w:val="left" w:pos="0"/>
        </w:tabs>
        <w:spacing w:after="240"/>
        <w:ind w:left="720" w:hanging="720"/>
      </w:pPr>
      <w:r w:rsidRPr="007A6497">
        <w:t xml:space="preserve">Shariff, A. (1999). </w:t>
      </w:r>
      <w:r w:rsidRPr="007A6497">
        <w:rPr>
          <w:i/>
        </w:rPr>
        <w:t>India human development report: A profile of Indian states in the 1990s</w:t>
      </w:r>
      <w:r w:rsidRPr="007A6497">
        <w:t>. Oxford, UK: Oxford University Press.</w:t>
      </w:r>
    </w:p>
    <w:p w:rsidR="007A6497" w:rsidRPr="007A6497" w:rsidRDefault="007A6497" w:rsidP="007A6497">
      <w:pPr>
        <w:tabs>
          <w:tab w:val="left" w:pos="0"/>
        </w:tabs>
        <w:ind w:left="720" w:hanging="720"/>
      </w:pPr>
      <w:r w:rsidRPr="007A6497">
        <w:t xml:space="preserve">Times of India. (2007). </w:t>
      </w:r>
      <w:r w:rsidRPr="007A6497">
        <w:rPr>
          <w:i/>
        </w:rPr>
        <w:t>Father wants 'mercy deaths' for disabled sons</w:t>
      </w:r>
      <w:r w:rsidRPr="007A6497">
        <w:t xml:space="preserve">. Retrieved June 17, 2009, from </w:t>
      </w:r>
      <w:hyperlink r:id="rId11" w:history="1">
        <w:r w:rsidRPr="007A6497">
          <w:rPr>
            <w:rStyle w:val="Hyperlink"/>
            <w:color w:val="auto"/>
            <w:u w:val="none"/>
          </w:rPr>
          <w:t>http://www.disabilityindia.com/html/newsmay.html</w:t>
        </w:r>
      </w:hyperlink>
    </w:p>
    <w:p w:rsidR="007A6497" w:rsidRPr="007A6497" w:rsidRDefault="007A6497" w:rsidP="007A6497">
      <w:pPr>
        <w:tabs>
          <w:tab w:val="left" w:pos="0"/>
        </w:tabs>
        <w:ind w:left="720" w:hanging="720"/>
      </w:pPr>
    </w:p>
    <w:p w:rsidR="007A6497" w:rsidRPr="007A6497" w:rsidRDefault="007A6497" w:rsidP="007A6497">
      <w:pPr>
        <w:tabs>
          <w:tab w:val="left" w:pos="0"/>
        </w:tabs>
        <w:ind w:left="720" w:hanging="720"/>
      </w:pPr>
    </w:p>
    <w:p w:rsidR="00AE3B7B" w:rsidRDefault="007A6497" w:rsidP="007A6497">
      <w:r w:rsidRPr="007A6497">
        <w:fldChar w:fldCharType="end"/>
      </w:r>
    </w:p>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A6497"/>
    <w:rsid w:val="007A6497"/>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97"/>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A6497"/>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isabilityindia.com/html/newsmay.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hildlineindia.org.in/cr-disability.htm" TargetMode="External"/><Relationship Id="rId5" Type="http://schemas.openxmlformats.org/officeDocument/2006/relationships/hyperlink" Target="http://www.humansecurity-chs.org/finalreport/index.html" TargetMode="External"/><Relationship Id="rId6" Type="http://schemas.openxmlformats.org/officeDocument/2006/relationships/hyperlink" Target="http://www.humansecurity-chs.org/finalreport/English/FinalReport.pdf" TargetMode="External"/><Relationship Id="rId7" Type="http://schemas.openxmlformats.org/officeDocument/2006/relationships/hyperlink" Target="http://www.releases.gov.nl.ca/releases/2005/hrle/0321n22.htm" TargetMode="External"/><Relationship Id="rId8" Type="http://schemas.openxmlformats.org/officeDocument/2006/relationships/hyperlink" Target="http://infochangeindia.org/index2.php?option=com_content&amp;do_pdf=1&amp;id=5662" TargetMode="External"/><Relationship Id="rId9" Type="http://schemas.openxmlformats.org/officeDocument/2006/relationships/hyperlink" Target="http://infochangeindia.org/Agenda/Hunger-Has-Fallen-Off-The-Map/" TargetMode="External"/><Relationship Id="rId10" Type="http://schemas.openxmlformats.org/officeDocument/2006/relationships/hyperlink" Target="http://policynut.uwinnipeg.ca/mehta-cwss-proceedings.dochttp://www.ubcpress.ca/books/pdf/chapters/mehta/chap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2676</Words>
  <Characters>15254</Characters>
  <Application>Microsoft Macintosh Word</Application>
  <DocSecurity>0</DocSecurity>
  <Lines>127</Lines>
  <Paragraphs>30</Paragraphs>
  <ScaleCrop>false</ScaleCrop>
  <Company>University of Missouri</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2014-11-12T22:23:00Z</dcterms:created>
  <dcterms:modified xsi:type="dcterms:W3CDTF">2014-11-12T22:25:00Z</dcterms:modified>
</cp:coreProperties>
</file>