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E4" w:rsidRPr="00CF1EE4" w:rsidRDefault="00CF1EE4" w:rsidP="00CF1EE4">
      <w:pPr>
        <w:pStyle w:val="BodyText"/>
        <w:rPr>
          <w:b w:val="0"/>
        </w:rPr>
      </w:pPr>
      <w:r w:rsidRPr="00CF1EE4">
        <w:rPr>
          <w:b w:val="0"/>
        </w:rPr>
        <w:t>Case Studies that Illustrate Achieving Career Success in Postsecondary Education through Self-Determination and Problem-Solving Skills</w:t>
      </w:r>
    </w:p>
    <w:p w:rsidR="00CF1EE4" w:rsidRDefault="00CF1EE4" w:rsidP="00CF1EE4">
      <w:pPr>
        <w:jc w:val="center"/>
      </w:pPr>
      <w:r>
        <w:t xml:space="preserve">Peter W. Dowrick, Ph.D. </w:t>
      </w:r>
    </w:p>
    <w:p w:rsidR="00CF1EE4" w:rsidRDefault="00CF1EE4" w:rsidP="00CF1EE4">
      <w:pPr>
        <w:jc w:val="center"/>
      </w:pPr>
      <w:r>
        <w:t>Center on Disability Studies, University of Hawaii</w:t>
      </w:r>
    </w:p>
    <w:p w:rsidR="00CF1EE4" w:rsidRDefault="00CF1EE4" w:rsidP="00CF1EE4">
      <w:pPr>
        <w:jc w:val="center"/>
      </w:pPr>
      <w:proofErr w:type="gramStart"/>
      <w:r>
        <w:t>Elizabeth Evans Getzel, M.A. &amp; Lori W. Briel, M.Ed.</w:t>
      </w:r>
      <w:proofErr w:type="gramEnd"/>
    </w:p>
    <w:p w:rsidR="00CF1EE4" w:rsidRDefault="00CF1EE4" w:rsidP="00CF1EE4">
      <w:pPr>
        <w:jc w:val="center"/>
      </w:pPr>
      <w:r>
        <w:t>Virginia Commonwealth University</w:t>
      </w:r>
    </w:p>
    <w:p w:rsidR="00CF1EE4" w:rsidRDefault="00CF1EE4" w:rsidP="00CF1EE4"/>
    <w:p w:rsidR="00CF1EE4" w:rsidRDefault="00CF1EE4" w:rsidP="00CF1EE4">
      <w:r>
        <w:rPr>
          <w:b/>
          <w:bCs/>
        </w:rPr>
        <w:t>Abstract:</w:t>
      </w:r>
      <w:r>
        <w:t xml:space="preserve"> Conditions for students with disabilities in postsecondary education are improving and numbers are increasing.  The potential for better outcomes may well be addressed through personal examples of effective support and accommodations.  This article presents three case studies across a spectrum of conditions.  These adults, with sensory, emotional, and/or cognitive disabilities, were 29 to 44 years of age, with a variety of life choices.  They sought participatory guidance and support from a pr</w:t>
      </w:r>
      <w:r>
        <w:t>o</w:t>
      </w:r>
      <w:r>
        <w:t xml:space="preserve">gram at Virginia Commonwealth University.  They explored career options around which to build degree programs in administration, exercise science, and photography.  The emerging theme was the ability to create personal futures through self-determination and </w:t>
      </w:r>
      <w:proofErr w:type="gramStart"/>
      <w:r>
        <w:t>problem-solving</w:t>
      </w:r>
      <w:proofErr w:type="gramEnd"/>
      <w:r>
        <w:t>.</w:t>
      </w:r>
    </w:p>
    <w:p w:rsidR="00CF1EE4" w:rsidRDefault="00CF1EE4" w:rsidP="00CF1EE4"/>
    <w:p w:rsidR="00CF1EE4" w:rsidRDefault="00CF1EE4" w:rsidP="00CF1EE4">
      <w:r>
        <w:rPr>
          <w:b/>
          <w:bCs/>
        </w:rPr>
        <w:t>Key Words:</w:t>
      </w:r>
      <w:r>
        <w:t xml:space="preserve"> post secondary education, career planning, students with disabilities, self-determination, problem solving</w:t>
      </w:r>
    </w:p>
    <w:p w:rsidR="00CF1EE4" w:rsidRDefault="00CF1EE4" w:rsidP="00CF1EE4"/>
    <w:p w:rsidR="00CF1EE4" w:rsidRDefault="00CF1EE4" w:rsidP="00CF1EE4">
      <w:pPr>
        <w:pStyle w:val="BodyTextIndent"/>
        <w:spacing w:line="240" w:lineRule="auto"/>
        <w:ind w:firstLine="0"/>
        <w:jc w:val="center"/>
        <w:rPr>
          <w:rFonts w:ascii="Times New Roman" w:hAnsi="Times New Roman"/>
        </w:rPr>
      </w:pPr>
      <w:r>
        <w:rPr>
          <w:rFonts w:ascii="Times New Roman" w:hAnsi="Times New Roman"/>
        </w:rPr>
        <w:t>Introduction</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Research to identify strategies and practices that contribute to improved employment outcomes are imperative for enhancing career opportunities and quality of life outcomes for people with disabilities (Sharpe, Johnson, Mavis, &amp; Rosen, 2001).  The participation rate of these individuals in the United States (U.S.) labor force is alarmingly low compared to employment rates among people without disabilities (Gilmore, Schuster, Zaft, &amp; Hart, 2003).  In addition, i</w:t>
      </w:r>
      <w:r>
        <w:rPr>
          <w:rFonts w:ascii="Times New Roman" w:hAnsi="Times New Roman"/>
        </w:rPr>
        <w:t>n</w:t>
      </w:r>
      <w:r>
        <w:rPr>
          <w:rFonts w:ascii="Times New Roman" w:hAnsi="Times New Roman"/>
        </w:rPr>
        <w:t>dividuals with disabilities experience lower average earnings, limited access to employee ben</w:t>
      </w:r>
      <w:r>
        <w:rPr>
          <w:rFonts w:ascii="Times New Roman" w:hAnsi="Times New Roman"/>
        </w:rPr>
        <w:t>e</w:t>
      </w:r>
      <w:r>
        <w:rPr>
          <w:rFonts w:ascii="Times New Roman" w:hAnsi="Times New Roman"/>
        </w:rPr>
        <w:t>fits, disproportionately high representation in low skilled jobs, and higher rates of poverty (Sto</w:t>
      </w:r>
      <w:r>
        <w:rPr>
          <w:rFonts w:ascii="Times New Roman" w:hAnsi="Times New Roman"/>
        </w:rPr>
        <w:t>d</w:t>
      </w:r>
      <w:r>
        <w:rPr>
          <w:rFonts w:ascii="Times New Roman" w:hAnsi="Times New Roman"/>
        </w:rPr>
        <w:t>den &amp; Dowrick, 2000).  The completion of a postsecondary education that includes voc</w:t>
      </w:r>
      <w:r>
        <w:rPr>
          <w:rFonts w:ascii="Times New Roman" w:hAnsi="Times New Roman"/>
        </w:rPr>
        <w:t>a</w:t>
      </w:r>
      <w:r>
        <w:rPr>
          <w:rFonts w:ascii="Times New Roman" w:hAnsi="Times New Roman"/>
        </w:rPr>
        <w:t>tional training significantly improves the chances of employment success for men and women with di</w:t>
      </w:r>
      <w:r>
        <w:rPr>
          <w:rFonts w:ascii="Times New Roman" w:hAnsi="Times New Roman"/>
        </w:rPr>
        <w:t>s</w:t>
      </w:r>
      <w:r>
        <w:rPr>
          <w:rFonts w:ascii="Times New Roman" w:hAnsi="Times New Roman"/>
        </w:rPr>
        <w:t>abilities (Gilson, 1996).  Indeed, employment and salaries in the workforce have become increa</w:t>
      </w:r>
      <w:r>
        <w:rPr>
          <w:rFonts w:ascii="Times New Roman" w:hAnsi="Times New Roman"/>
        </w:rPr>
        <w:t>s</w:t>
      </w:r>
      <w:r>
        <w:rPr>
          <w:rFonts w:ascii="Times New Roman" w:hAnsi="Times New Roman"/>
        </w:rPr>
        <w:t>ingly skewed in favor of adults with a higher education (Dowrick &amp; Crespo, 2004), and this diffe</w:t>
      </w:r>
      <w:r>
        <w:rPr>
          <w:rFonts w:ascii="Times New Roman" w:hAnsi="Times New Roman"/>
        </w:rPr>
        <w:t>r</w:t>
      </w:r>
      <w:r>
        <w:rPr>
          <w:rFonts w:ascii="Times New Roman" w:hAnsi="Times New Roman"/>
        </w:rPr>
        <w:t>ence is exacerbated for people with disabilities.  Overall, educational opportunities max</w:t>
      </w:r>
      <w:r>
        <w:rPr>
          <w:rFonts w:ascii="Times New Roman" w:hAnsi="Times New Roman"/>
        </w:rPr>
        <w:t>i</w:t>
      </w:r>
      <w:r>
        <w:rPr>
          <w:rFonts w:ascii="Times New Roman" w:hAnsi="Times New Roman"/>
        </w:rPr>
        <w:t>mize preparedness for careers in today’s changing economy when students with disabilities learn higher order thinking and technical skills necessary to take advantage of current and future job market trends (Stodden, 2001).</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In the 1990s, there was a 90% increase in the number of universities, technical institutions, community colleges, and vocational technical centers offering supports for adults with disabilities to continue their education (Stodden &amp; Dowrick, 2000).  In our best estimate, the percentage of students with disabilities enrolled in postsecondary ed</w:t>
      </w:r>
      <w:r>
        <w:rPr>
          <w:rFonts w:ascii="Times New Roman" w:hAnsi="Times New Roman"/>
        </w:rPr>
        <w:t>u</w:t>
      </w:r>
      <w:r>
        <w:rPr>
          <w:rFonts w:ascii="Times New Roman" w:hAnsi="Times New Roman"/>
        </w:rPr>
        <w:t>cation doubled in the late 1990s.  In a National Center for Educational Statistics (NCES) study of 16 million U.S. st</w:t>
      </w:r>
      <w:r>
        <w:rPr>
          <w:rFonts w:ascii="Times New Roman" w:hAnsi="Times New Roman"/>
        </w:rPr>
        <w:t>u</w:t>
      </w:r>
      <w:r>
        <w:rPr>
          <w:rFonts w:ascii="Times New Roman" w:hAnsi="Times New Roman"/>
        </w:rPr>
        <w:t xml:space="preserve">dents, 9% reported a disability in 1999-2000, although NCES (2002) cautioned this figure </w:t>
      </w:r>
      <w:proofErr w:type="gramStart"/>
      <w:r>
        <w:rPr>
          <w:rFonts w:ascii="Times New Roman" w:hAnsi="Times New Roman"/>
        </w:rPr>
        <w:t>may</w:t>
      </w:r>
      <w:proofErr w:type="gramEnd"/>
      <w:r>
        <w:rPr>
          <w:rFonts w:ascii="Times New Roman" w:hAnsi="Times New Roman"/>
        </w:rPr>
        <w:t xml:space="preserve"> not be comparable to previous years when a different set of questions was used.  While increasing numbers of ind</w:t>
      </w:r>
      <w:r>
        <w:rPr>
          <w:rFonts w:ascii="Times New Roman" w:hAnsi="Times New Roman"/>
        </w:rPr>
        <w:t>i</w:t>
      </w:r>
      <w:r>
        <w:rPr>
          <w:rFonts w:ascii="Times New Roman" w:hAnsi="Times New Roman"/>
        </w:rPr>
        <w:t>viduals with disabilities enroll in postsecondary education, many individuals experience diff</w:t>
      </w:r>
      <w:r>
        <w:rPr>
          <w:rFonts w:ascii="Times New Roman" w:hAnsi="Times New Roman"/>
        </w:rPr>
        <w:t>i</w:t>
      </w:r>
      <w:r>
        <w:rPr>
          <w:rFonts w:ascii="Times New Roman" w:hAnsi="Times New Roman"/>
        </w:rPr>
        <w:t>culty continuing or completing their program of study (</w:t>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rPr>
        <w:t>Heiman &amp; Precel, 2003; N.O.D., 1998; Witte, Philips &amp; Kakela, 1998).  Factors contributing to low e</w:t>
      </w:r>
      <w:r>
        <w:rPr>
          <w:rFonts w:ascii="Times New Roman" w:hAnsi="Times New Roman"/>
        </w:rPr>
        <w:t>n</w:t>
      </w:r>
      <w:r>
        <w:rPr>
          <w:rFonts w:ascii="Times New Roman" w:hAnsi="Times New Roman"/>
        </w:rPr>
        <w:t>rollment and high dropout rates for students with disabilities are not limited to the need for supports or services – they also include a host of systemic, socio-cultural, financial, and pe</w:t>
      </w:r>
      <w:r>
        <w:rPr>
          <w:rFonts w:ascii="Times New Roman" w:hAnsi="Times New Roman"/>
        </w:rPr>
        <w:t>r</w:t>
      </w:r>
      <w:r>
        <w:rPr>
          <w:rFonts w:ascii="Times New Roman" w:hAnsi="Times New Roman"/>
        </w:rPr>
        <w:t>sonal factors that impede academic progress (Stodden, 2001).  While a considerable body of theoretical knowledge exists regarding the effectiveness of various services, supports, and programs in postse</w:t>
      </w:r>
      <w:r>
        <w:rPr>
          <w:rFonts w:ascii="Times New Roman" w:hAnsi="Times New Roman"/>
        </w:rPr>
        <w:t>c</w:t>
      </w:r>
      <w:r>
        <w:rPr>
          <w:rFonts w:ascii="Times New Roman" w:hAnsi="Times New Roman"/>
        </w:rPr>
        <w:t>ondary education for persons with disabilities, much less information is available about the personal attributes that facil</w:t>
      </w:r>
      <w:r>
        <w:rPr>
          <w:rFonts w:ascii="Times New Roman" w:hAnsi="Times New Roman"/>
        </w:rPr>
        <w:t>i</w:t>
      </w:r>
      <w:r>
        <w:rPr>
          <w:rFonts w:ascii="Times New Roman" w:hAnsi="Times New Roman"/>
        </w:rPr>
        <w:t>tate career growth and those that lead to successful futures (Dowrick &amp; Skouge, 2001; Gartin, Rumrill, &amp; Serebreni, 1996; Tindal, Heath, Hollenbeck, Almond, &amp; Ha</w:t>
      </w:r>
      <w:r>
        <w:rPr>
          <w:rFonts w:ascii="Times New Roman" w:hAnsi="Times New Roman"/>
        </w:rPr>
        <w:t>r</w:t>
      </w:r>
      <w:r>
        <w:rPr>
          <w:rFonts w:ascii="Times New Roman" w:hAnsi="Times New Roman"/>
        </w:rPr>
        <w:t>niss, 1998).</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In the last decade, there has been a substantial increase in the promotion of self-determination throughout the disability community.  In their review of the link between education and employment, Stodden and Dowrick (2000) note “self-advocacy and self-determination—the abilities to express one’s needs and to make informed decisions—are considered to be among the most important skills for students with disabilities to have before beginning their postsecondary educational experience” (p.21).  The main elements of self-determination applicable in this context are typically described to include: Self-awareness (including self-assessment); Self-advocacy (recognizing and acting upon one’s rights); Self-efficacy (</w:t>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rPr>
        <w:t>a pe</w:t>
      </w:r>
      <w:r>
        <w:rPr>
          <w:rFonts w:ascii="Times New Roman" w:hAnsi="Times New Roman"/>
        </w:rPr>
        <w:t>r</w:t>
      </w:r>
      <w:r>
        <w:rPr>
          <w:rFonts w:ascii="Times New Roman" w:hAnsi="Times New Roman"/>
        </w:rPr>
        <w:t>son’s belief that he or she can perform an identified task); Decision-making (goal-setting and planning), and Indepen</w:t>
      </w:r>
      <w:r>
        <w:rPr>
          <w:rFonts w:ascii="Times New Roman" w:hAnsi="Times New Roman"/>
        </w:rPr>
        <w:t>d</w:t>
      </w:r>
      <w:r>
        <w:rPr>
          <w:rFonts w:ascii="Times New Roman" w:hAnsi="Times New Roman"/>
        </w:rPr>
        <w:t>ence (initiating tasks and adjusting goals) (Yuen &amp; Shaughnessy, 2000).</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ind w:firstLine="0"/>
        <w:rPr>
          <w:rFonts w:ascii="Times New Roman" w:hAnsi="Times New Roman"/>
        </w:rPr>
      </w:pPr>
      <w:r>
        <w:rPr>
          <w:rFonts w:ascii="Times New Roman" w:hAnsi="Times New Roman"/>
        </w:rPr>
        <w:tab/>
        <w:t>Educators who facilitate self-determination for people with disabilities enable those individ</w:t>
      </w:r>
      <w:r>
        <w:rPr>
          <w:rFonts w:ascii="Times New Roman" w:hAnsi="Times New Roman"/>
        </w:rPr>
        <w:t>u</w:t>
      </w:r>
      <w:r>
        <w:rPr>
          <w:rFonts w:ascii="Times New Roman" w:hAnsi="Times New Roman"/>
        </w:rPr>
        <w:t>als to play an active role in developing their own careers (Kilsby &amp; Beyer, 2002).  Similarly, goal-se</w:t>
      </w:r>
      <w:r>
        <w:rPr>
          <w:rFonts w:ascii="Times New Roman" w:hAnsi="Times New Roman"/>
        </w:rPr>
        <w:t>t</w:t>
      </w:r>
      <w:r>
        <w:rPr>
          <w:rFonts w:ascii="Times New Roman" w:hAnsi="Times New Roman"/>
        </w:rPr>
        <w:t>ting, problem-solving, and decision-making and other skills that lead to enhanced self-determination enable students to assume greater responsibility and control over their lives (Ward, 1996).  Multiple studies indicate that students who obtain self-determination skills while atten</w:t>
      </w:r>
      <w:r>
        <w:rPr>
          <w:rFonts w:ascii="Times New Roman" w:hAnsi="Times New Roman"/>
        </w:rPr>
        <w:t>d</w:t>
      </w:r>
      <w:r>
        <w:rPr>
          <w:rFonts w:ascii="Times New Roman" w:hAnsi="Times New Roman"/>
        </w:rPr>
        <w:t>ing school have a greater chance of achieving positive post-school outcomes than do st</w:t>
      </w:r>
      <w:r>
        <w:rPr>
          <w:rFonts w:ascii="Times New Roman" w:hAnsi="Times New Roman"/>
        </w:rPr>
        <w:t>u</w:t>
      </w:r>
      <w:r>
        <w:rPr>
          <w:rFonts w:ascii="Times New Roman" w:hAnsi="Times New Roman"/>
        </w:rPr>
        <w:t>dents who have not acquired these skills (e.g., Wehmeyer &amp; Palmer, 2003; Wehmeyer &amp; Schwartz, 1998).</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Today’s growing body of knowledge suggests that providing opportunities for teaching and demonstrating decision-making and problem-solving skills greatly enhances a person’s sense of self-determination.  In the field of disabilities research, frameworks have been developed for teaching students self-determination.  For example, Wehmeyer and Palmer (2003) describe students being taught to solve a series of problems to construct a causal sequence to move them from where they are to where they want to be.  Research on academic success and problem-solving skills indicates that teaching problem-solving skills, such as the ability to devise strategies, techniques, and compensatory methods to adjust for a particular disabi</w:t>
      </w:r>
      <w:r>
        <w:rPr>
          <w:rFonts w:ascii="Times New Roman" w:hAnsi="Times New Roman"/>
        </w:rPr>
        <w:t>l</w:t>
      </w:r>
      <w:r>
        <w:rPr>
          <w:rFonts w:ascii="Times New Roman" w:hAnsi="Times New Roman"/>
        </w:rPr>
        <w:t>ity, greatly enhances students’ ability to perform well in their present situations while building potential resolutions for encountering future obst</w:t>
      </w:r>
      <w:r>
        <w:rPr>
          <w:rFonts w:ascii="Times New Roman" w:hAnsi="Times New Roman"/>
        </w:rPr>
        <w:t>a</w:t>
      </w:r>
      <w:r>
        <w:rPr>
          <w:rFonts w:ascii="Times New Roman" w:hAnsi="Times New Roman"/>
        </w:rPr>
        <w:t>cles (Columbus &amp; Mithaug, 2003).</w:t>
      </w:r>
    </w:p>
    <w:p w:rsidR="00CF1EE4" w:rsidRDefault="00CF1EE4" w:rsidP="00CF1EE4">
      <w:pPr>
        <w:pStyle w:val="BodyTextIndent"/>
        <w:spacing w:line="240" w:lineRule="auto"/>
        <w:ind w:firstLine="0"/>
        <w:rPr>
          <w:rFonts w:ascii="Times New Roman" w:hAnsi="Times New Roman"/>
          <w:bCs/>
        </w:rPr>
      </w:pPr>
    </w:p>
    <w:p w:rsidR="00CF1EE4" w:rsidRDefault="00CF1EE4" w:rsidP="00CF1EE4">
      <w:pPr>
        <w:pStyle w:val="BodyTextIndent"/>
        <w:spacing w:line="240" w:lineRule="auto"/>
        <w:ind w:firstLine="0"/>
        <w:jc w:val="center"/>
        <w:rPr>
          <w:rFonts w:ascii="Times New Roman" w:hAnsi="Times New Roman"/>
          <w:bCs/>
        </w:rPr>
      </w:pPr>
      <w:r>
        <w:rPr>
          <w:rFonts w:ascii="Times New Roman" w:hAnsi="Times New Roman"/>
          <w:bCs/>
        </w:rPr>
        <w:t>Case Studies on Disabilities in Postsecondary Education</w:t>
      </w:r>
    </w:p>
    <w:p w:rsidR="00CF1EE4" w:rsidRDefault="00CF1EE4" w:rsidP="00CF1EE4">
      <w:pPr>
        <w:pStyle w:val="BodyTextIndent"/>
        <w:spacing w:line="240" w:lineRule="auto"/>
        <w:ind w:firstLine="0"/>
        <w:rPr>
          <w:rFonts w:ascii="Times New Roman" w:hAnsi="Times New Roman"/>
          <w:bCs/>
        </w:rPr>
      </w:pPr>
    </w:p>
    <w:p w:rsidR="00CF1EE4" w:rsidRDefault="00CF1EE4" w:rsidP="00CF1EE4">
      <w:pPr>
        <w:pStyle w:val="BodyTextIndent"/>
        <w:spacing w:line="240" w:lineRule="auto"/>
        <w:rPr>
          <w:rFonts w:ascii="Times New Roman" w:hAnsi="Times New Roman"/>
        </w:rPr>
      </w:pPr>
      <w:r>
        <w:rPr>
          <w:rFonts w:ascii="Times New Roman" w:hAnsi="Times New Roman"/>
        </w:rPr>
        <w:t xml:space="preserve">Case studies may “put a human face on the postsecondary education issues” (Dowrick, 2000) and give full voice to consumer perspectives on topics such as postsecondary supports, scope and effectiveness of services, and employment outcomes.  In particular, case illustrations offer details not available in surveys or aggregated data.  The following three case studies emphasize how attributes such as self-determination and </w:t>
      </w:r>
      <w:proofErr w:type="gramStart"/>
      <w:r>
        <w:rPr>
          <w:rFonts w:ascii="Times New Roman" w:hAnsi="Times New Roman"/>
        </w:rPr>
        <w:t>problem-solving</w:t>
      </w:r>
      <w:proofErr w:type="gramEnd"/>
      <w:r>
        <w:rPr>
          <w:rFonts w:ascii="Times New Roman" w:hAnsi="Times New Roman"/>
        </w:rPr>
        <w:t xml:space="preserve"> may be fo</w:t>
      </w:r>
      <w:r>
        <w:rPr>
          <w:rFonts w:ascii="Times New Roman" w:hAnsi="Times New Roman"/>
        </w:rPr>
        <w:t>s</w:t>
      </w:r>
      <w:r>
        <w:rPr>
          <w:rFonts w:ascii="Times New Roman" w:hAnsi="Times New Roman"/>
        </w:rPr>
        <w:t>tered through postsecondary educational services.  These traits may then promote career mobi</w:t>
      </w:r>
      <w:r>
        <w:rPr>
          <w:rFonts w:ascii="Times New Roman" w:hAnsi="Times New Roman"/>
        </w:rPr>
        <w:t>l</w:t>
      </w:r>
      <w:r>
        <w:rPr>
          <w:rFonts w:ascii="Times New Roman" w:hAnsi="Times New Roman"/>
        </w:rPr>
        <w:t>ity and create foundations for future career success.  The underlying themes of each case are presented and di</w:t>
      </w:r>
      <w:r>
        <w:rPr>
          <w:rFonts w:ascii="Times New Roman" w:hAnsi="Times New Roman"/>
        </w:rPr>
        <w:t>s</w:t>
      </w:r>
      <w:r>
        <w:rPr>
          <w:rFonts w:ascii="Times New Roman" w:hAnsi="Times New Roman"/>
        </w:rPr>
        <w:t>cussed, offering conclusions and recommendations for future teaching, policies, and research e</w:t>
      </w:r>
      <w:r>
        <w:rPr>
          <w:rFonts w:ascii="Times New Roman" w:hAnsi="Times New Roman"/>
        </w:rPr>
        <w:t>f</w:t>
      </w:r>
      <w:r>
        <w:rPr>
          <w:rFonts w:ascii="Times New Roman" w:hAnsi="Times New Roman"/>
        </w:rPr>
        <w:t>forts.</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The Career Connections Program at Virginia Commonwealth University (VCU) offers students with disabil</w:t>
      </w:r>
      <w:r>
        <w:rPr>
          <w:rFonts w:ascii="Times New Roman" w:hAnsi="Times New Roman"/>
        </w:rPr>
        <w:t>i</w:t>
      </w:r>
      <w:r>
        <w:rPr>
          <w:rFonts w:ascii="Times New Roman" w:hAnsi="Times New Roman"/>
        </w:rPr>
        <w:t>ties access to services and supports, provides internships, and maximizes university and comm</w:t>
      </w:r>
      <w:r>
        <w:rPr>
          <w:rFonts w:ascii="Times New Roman" w:hAnsi="Times New Roman"/>
        </w:rPr>
        <w:t>u</w:t>
      </w:r>
      <w:r>
        <w:rPr>
          <w:rFonts w:ascii="Times New Roman" w:hAnsi="Times New Roman"/>
        </w:rPr>
        <w:t>nity services (Briel &amp; Getzel, 2001) to encourage positive career outcomes.  Students are self-identified in their need for assistance and they direct the implementation of services provided.  The VCU program offers job placement assistance, on-site strategies to facilitate learning, and coordination of community supports.  The following three case examples illustrate the significant i</w:t>
      </w:r>
      <w:r>
        <w:rPr>
          <w:rFonts w:ascii="Times New Roman" w:hAnsi="Times New Roman"/>
        </w:rPr>
        <w:t>m</w:t>
      </w:r>
      <w:r>
        <w:rPr>
          <w:rFonts w:ascii="Times New Roman" w:hAnsi="Times New Roman"/>
        </w:rPr>
        <w:t>pact of VCU support services on access to career opportunities and life-long goals.  These studies also de</w:t>
      </w:r>
      <w:r>
        <w:rPr>
          <w:rFonts w:ascii="Times New Roman" w:hAnsi="Times New Roman"/>
        </w:rPr>
        <w:t>m</w:t>
      </w:r>
      <w:r>
        <w:rPr>
          <w:rFonts w:ascii="Times New Roman" w:hAnsi="Times New Roman"/>
        </w:rPr>
        <w:t xml:space="preserve">onstrate the strategies used in creating futures through problem-solving skills to attain career success and improved quality of life. </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ind w:firstLine="0"/>
        <w:rPr>
          <w:rFonts w:ascii="Times New Roman" w:hAnsi="Times New Roman"/>
          <w:bCs/>
        </w:rPr>
      </w:pPr>
      <w:r>
        <w:rPr>
          <w:rFonts w:ascii="Times New Roman" w:hAnsi="Times New Roman"/>
          <w:bCs/>
        </w:rPr>
        <w:t>Case Example #1</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“Dawn,” 36 years old, completed her undergraduate degree in history with a minor in political science.  Dawn obtained services through the federally funded comprehensive VCU Career Connections Program for postsecondary students with disabilities.  Dawn developed Stargardt’s Disease at a young age and became legally blind.  While attending VCU, she contacted the Career Connections Program for assistance in securing employment.  Dawn had minimal financially compensated work experience, but she had gained 10 years of leadership background in a volunteer organization.  Dawn was frustrated with her lack of opportunity for professional employment.  She had applied for many positions, but thought employers, after they discovered her visual impairment, would not call her for a se</w:t>
      </w:r>
      <w:r>
        <w:rPr>
          <w:rFonts w:ascii="Times New Roman" w:hAnsi="Times New Roman"/>
        </w:rPr>
        <w:t>c</w:t>
      </w:r>
      <w:r>
        <w:rPr>
          <w:rFonts w:ascii="Times New Roman" w:hAnsi="Times New Roman"/>
        </w:rPr>
        <w:t>ond interview, let alone hire her.</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The VCU staff worked with Dawn to develop an Individualized Career Plan to help focus on areas she needed to strengthen.  Two primary areas emerged.  First, she needed to revise her resume to emphasize her skills and abilities gained through her volunteer experience.  The second area was learning how community services (e.g. The Virginia Department for the Blind and Vision Impaired) could assist with the provision of computer technology at the work site and how to communicate this information during an interview.  She also took the initiative to research the skills requested by employers and gained proficiency in a variety of computer programs.</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With assistance from the VCU Career Connections staff, a job lead was identified through the university career center.  The VCU Career Connections staff contacted the employer and arranged a short meeting to establish a supportive relationship, further identify job duties, clarify work processes, assess the work environment of the company, and determine if the position would be a good match for the student.  Information gathered reflected an independent position in which the employee would have his or her own computer and would communicate with representatives in 22 states.  It was learned that the employer, a VCU alumnus, had never worked with anyone with a visual impairment and had little understanding of how technology could be used to enhance production.  After a brief explanation of magnification software and closed circuit television screens, the employer reviewed Dawn’s resume and eagerly set up an interview.</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As a result, Dawn secured a 30-hour per-week position as a r</w:t>
      </w:r>
      <w:r>
        <w:rPr>
          <w:rFonts w:ascii="Times New Roman" w:hAnsi="Times New Roman"/>
        </w:rPr>
        <w:t>e</w:t>
      </w:r>
      <w:r>
        <w:rPr>
          <w:rFonts w:ascii="Times New Roman" w:hAnsi="Times New Roman"/>
        </w:rPr>
        <w:t>search associate for a non-profit organization that served over 400 cities, counties, and towns in 22 states.  Dawn worked for the organization for almost 2 years.  She remained in contact with the VCU Career Connections Program keeping them informed on how she was performing in her position.  While in this position, Dawn enrolled in a Master’s degree program at VCU and reconnected again with the Career Connections staff.</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While working and going to school, Dawn decided to pursue another position and leave her Master’s degree program.  After resigning her position and before leaving her degree program, Dawn expressed an interest in pursuing a position in events planning and sought to capitalize on her strengths, her personal communication skills, ability to coord</w:t>
      </w:r>
      <w:r>
        <w:rPr>
          <w:rFonts w:ascii="Times New Roman" w:hAnsi="Times New Roman"/>
        </w:rPr>
        <w:t>i</w:t>
      </w:r>
      <w:r>
        <w:rPr>
          <w:rFonts w:ascii="Times New Roman" w:hAnsi="Times New Roman"/>
        </w:rPr>
        <w:t>nate details, and ability to organize multiple levels of information.  She wanted to see if ultimately she would seek an advanced degree to help her in this field.  Several informational interviews were arranged for Dawn to learn more about the events planning field.  Dawn secured a position on a medical campus coordinating physicians’ schedules and education rotations.  She brought with her the closed circuit television screen she had used in her previous position, and she installed Zoom Text sof</w:t>
      </w:r>
      <w:r>
        <w:rPr>
          <w:rFonts w:ascii="Times New Roman" w:hAnsi="Times New Roman"/>
        </w:rPr>
        <w:t>t</w:t>
      </w:r>
      <w:r>
        <w:rPr>
          <w:rFonts w:ascii="Times New Roman" w:hAnsi="Times New Roman"/>
        </w:rPr>
        <w:t>ware on her computer.  Less than a year later, Dawn secured another position at the corporate headquarters of a company that manufactured and distributed credit cards.  She was hired as an administrative assistant and received a salary $10,000 greater than in her previous job.  Dawn worked in the distribution department, still using the closed circuit telev</w:t>
      </w:r>
      <w:r>
        <w:rPr>
          <w:rFonts w:ascii="Times New Roman" w:hAnsi="Times New Roman"/>
        </w:rPr>
        <w:t>i</w:t>
      </w:r>
      <w:r>
        <w:rPr>
          <w:rFonts w:ascii="Times New Roman" w:hAnsi="Times New Roman"/>
        </w:rPr>
        <w:t>sion screen originally purchased by the Department for the Blind and Vision Impaired.  She then co</w:t>
      </w:r>
      <w:r>
        <w:rPr>
          <w:rFonts w:ascii="Times New Roman" w:hAnsi="Times New Roman"/>
        </w:rPr>
        <w:t>n</w:t>
      </w:r>
      <w:r>
        <w:rPr>
          <w:rFonts w:ascii="Times New Roman" w:hAnsi="Times New Roman"/>
        </w:rPr>
        <w:t>sidered supplementing her education with a post-baccalaureate certificate in business manag</w:t>
      </w:r>
      <w:r>
        <w:rPr>
          <w:rFonts w:ascii="Times New Roman" w:hAnsi="Times New Roman"/>
        </w:rPr>
        <w:t>e</w:t>
      </w:r>
      <w:r>
        <w:rPr>
          <w:rFonts w:ascii="Times New Roman" w:hAnsi="Times New Roman"/>
        </w:rPr>
        <w:t>ment.</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Dawn’s example of career success illustrates the self-advocacy skills that are esse</w:t>
      </w:r>
      <w:r>
        <w:rPr>
          <w:rFonts w:ascii="Times New Roman" w:hAnsi="Times New Roman"/>
        </w:rPr>
        <w:t>n</w:t>
      </w:r>
      <w:r>
        <w:rPr>
          <w:rFonts w:ascii="Times New Roman" w:hAnsi="Times New Roman"/>
        </w:rPr>
        <w:t>tial to the development of self-determination—for example, the ability to express her needs, to make informed decisions, and to advocate for those decisions (Yuen &amp; Shaughnessy, 2000).  Dawn also demonstrated the ability to “reframe” her disability experience through the understanding of her strengths and limitations, and her belief in herself as being able to overcome the cha</w:t>
      </w:r>
      <w:r>
        <w:rPr>
          <w:rFonts w:ascii="Times New Roman" w:hAnsi="Times New Roman"/>
        </w:rPr>
        <w:t>l</w:t>
      </w:r>
      <w:r>
        <w:rPr>
          <w:rFonts w:ascii="Times New Roman" w:hAnsi="Times New Roman"/>
        </w:rPr>
        <w:t>lenges by moving from a reactive to proactive stance (Shessel &amp; Reiff, 1999).  The promotion of self-determination was further nurtured through Dawn’s encounters with the VCU Career Connections staff, which modeled effective education and advocacy skills with employers and consistently provided Dawn with opportunities to choose her goals according to her own interests.  The VCU staff worked to maximize her strengths and problem solving.  By providing connections to appropriate supports and opportunities for potential jobs rel</w:t>
      </w:r>
      <w:r>
        <w:rPr>
          <w:rFonts w:ascii="Times New Roman" w:hAnsi="Times New Roman"/>
        </w:rPr>
        <w:t>e</w:t>
      </w:r>
      <w:r>
        <w:rPr>
          <w:rFonts w:ascii="Times New Roman" w:hAnsi="Times New Roman"/>
        </w:rPr>
        <w:t>vant to Dawn’s own interests, the staff worked to foster Dawn’s persistence in pursuit of future success.  The Career Connections program was able to identify locations for informational interviews using the VCU alumni office, the university career center, and other business contacts established through the program.  This assisted Dawn to network with individuals in the field and offered an opportunity to discuss her strengths in a more comfortable setting than a formal job interview.  Dawn often expressed that the VCU Career Connections program provided her an upper hand in the job market by educating employers about individuals with disabilities.  The program staff members had the expertise about accommodating individuals with disabilities in the workplace and to work with these students on developing skills to manage their careers.</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ind w:firstLine="0"/>
        <w:rPr>
          <w:rFonts w:ascii="Times New Roman" w:hAnsi="Times New Roman"/>
        </w:rPr>
      </w:pPr>
      <w:r>
        <w:rPr>
          <w:rFonts w:ascii="Times New Roman" w:hAnsi="Times New Roman"/>
          <w:bCs/>
        </w:rPr>
        <w:t>Case Example  #2</w:t>
      </w:r>
    </w:p>
    <w:p w:rsidR="00CF1EE4" w:rsidRDefault="00CF1EE4" w:rsidP="00CF1EE4"/>
    <w:p w:rsidR="00CF1EE4" w:rsidRDefault="00CF1EE4" w:rsidP="00CF1EE4">
      <w:pPr>
        <w:ind w:firstLine="720"/>
      </w:pPr>
      <w:r>
        <w:t>“Bill,” 29 years of age, had been diagnosed with anxiety and depression while in high school.  In college, he majored in community wellness and exercise science.  Bill contacted the VCU Career Connections Program after reading an article published in the local newspaper.  He had experienced difficulties getting an i</w:t>
      </w:r>
      <w:r>
        <w:t>n</w:t>
      </w:r>
      <w:r>
        <w:t xml:space="preserve">ternship site for his senior year and had chosen not to receive support through the college’s services for students with disabilities. </w:t>
      </w:r>
    </w:p>
    <w:p w:rsidR="00CF1EE4" w:rsidRDefault="00CF1EE4" w:rsidP="00CF1EE4">
      <w:pPr>
        <w:ind w:firstLine="720"/>
      </w:pPr>
    </w:p>
    <w:p w:rsidR="00CF1EE4" w:rsidRDefault="00CF1EE4" w:rsidP="00CF1EE4">
      <w:pPr>
        <w:ind w:firstLine="720"/>
      </w:pPr>
      <w:r>
        <w:t>Bill participated with the Career Connections staff to develop an Individualized Career Plan that focused first on securing an internship site.  His work preferences were based on his recognized abilities and he was provided with direct assistance to secure a suitably appropriate internship.  When the employer asked about learner accommodations, Bill was taught to indicate how important it was for him to repeatedly practice a new skill and to proceed at a moderate pace.  He comm</w:t>
      </w:r>
      <w:r>
        <w:t>u</w:t>
      </w:r>
      <w:r>
        <w:t>nicated how he could become easily stressed and that he dealt with stress through physical rea</w:t>
      </w:r>
      <w:r>
        <w:t>c</w:t>
      </w:r>
      <w:r>
        <w:t>tions.  Previously, Bill had held a position as a grocery bagger for 2 years before being fired for a public ou</w:t>
      </w:r>
      <w:r>
        <w:t>t</w:t>
      </w:r>
      <w:r>
        <w:t>burst.  Bill was not aware of stress management techniques and was unsure of what strategies to apply when u</w:t>
      </w:r>
      <w:r>
        <w:t>n</w:t>
      </w:r>
      <w:r>
        <w:t>der stress.</w:t>
      </w:r>
    </w:p>
    <w:p w:rsidR="00CF1EE4" w:rsidRDefault="00CF1EE4" w:rsidP="00CF1EE4">
      <w:pPr>
        <w:ind w:firstLine="720"/>
      </w:pPr>
    </w:p>
    <w:p w:rsidR="00CF1EE4" w:rsidRDefault="00CF1EE4" w:rsidP="00CF1EE4">
      <w:pPr>
        <w:pStyle w:val="BodyTextIndent"/>
        <w:spacing w:line="240" w:lineRule="auto"/>
        <w:rPr>
          <w:rFonts w:ascii="Times New Roman" w:hAnsi="Times New Roman"/>
          <w:szCs w:val="24"/>
        </w:rPr>
      </w:pPr>
      <w:r>
        <w:rPr>
          <w:rFonts w:ascii="Times New Roman" w:hAnsi="Times New Roman"/>
          <w:szCs w:val="24"/>
        </w:rPr>
        <w:t>The VCU staff supported Bill and provided him with appropriate coaching to secure an internship at a local athletic club. On the second day of work, Bill asked the fi</w:t>
      </w:r>
      <w:r>
        <w:rPr>
          <w:rFonts w:ascii="Times New Roman" w:hAnsi="Times New Roman"/>
          <w:szCs w:val="24"/>
        </w:rPr>
        <w:t>t</w:t>
      </w:r>
      <w:r>
        <w:rPr>
          <w:rFonts w:ascii="Times New Roman" w:hAnsi="Times New Roman"/>
          <w:szCs w:val="24"/>
        </w:rPr>
        <w:t>ness director if he could go home, as he was not “feeling well.”  On the third day, the VCU Career Connections staff came on-site to assist Bill in structuring his time at work.  They identified sp</w:t>
      </w:r>
      <w:r>
        <w:rPr>
          <w:rFonts w:ascii="Times New Roman" w:hAnsi="Times New Roman"/>
          <w:szCs w:val="24"/>
        </w:rPr>
        <w:t>e</w:t>
      </w:r>
      <w:r>
        <w:rPr>
          <w:rFonts w:ascii="Times New Roman" w:hAnsi="Times New Roman"/>
          <w:szCs w:val="24"/>
        </w:rPr>
        <w:t>cific duties that could be completed throughout the day, such as helping at the front desk or cleaning the equipment.  It soon became apparent to the Career Connections staff that when Bill had any idle time, he became agitated and wanted to leave the work place.  To alleviate this problem, the staff modeled certain strategies for Bill including greeting customers, talking to co-workers, and taking a break in the staff o</w:t>
      </w:r>
      <w:r>
        <w:rPr>
          <w:rFonts w:ascii="Times New Roman" w:hAnsi="Times New Roman"/>
          <w:szCs w:val="24"/>
        </w:rPr>
        <w:t>f</w:t>
      </w:r>
      <w:r>
        <w:rPr>
          <w:rFonts w:ascii="Times New Roman" w:hAnsi="Times New Roman"/>
          <w:szCs w:val="24"/>
        </w:rPr>
        <w:t>fice.</w:t>
      </w:r>
    </w:p>
    <w:p w:rsidR="00CF1EE4" w:rsidRDefault="00CF1EE4" w:rsidP="00CF1EE4">
      <w:pPr>
        <w:pStyle w:val="BodyTextIndent"/>
        <w:spacing w:line="240" w:lineRule="auto"/>
        <w:rPr>
          <w:rFonts w:ascii="Times New Roman" w:hAnsi="Times New Roman"/>
          <w:szCs w:val="24"/>
        </w:rPr>
      </w:pPr>
    </w:p>
    <w:p w:rsidR="00CF1EE4" w:rsidRDefault="00CF1EE4" w:rsidP="00CF1EE4">
      <w:pPr>
        <w:pStyle w:val="BodyTextIndent"/>
        <w:spacing w:line="240" w:lineRule="auto"/>
        <w:rPr>
          <w:rFonts w:ascii="Times New Roman" w:hAnsi="Times New Roman"/>
        </w:rPr>
      </w:pPr>
      <w:r>
        <w:rPr>
          <w:rFonts w:ascii="Times New Roman" w:hAnsi="Times New Roman"/>
        </w:rPr>
        <w:t xml:space="preserve">VCU staff again intervened when Bill had difficulty explaining how exercise machines worked.  After repeated observations of workouts, Bill still could not explain how the machines worked.  The Career Connections </w:t>
      </w:r>
      <w:proofErr w:type="gramStart"/>
      <w:r>
        <w:rPr>
          <w:rFonts w:ascii="Times New Roman" w:hAnsi="Times New Roman"/>
        </w:rPr>
        <w:t>staff recommended Bill actively participate</w:t>
      </w:r>
      <w:proofErr w:type="gramEnd"/>
      <w:r>
        <w:rPr>
          <w:rFonts w:ascii="Times New Roman" w:hAnsi="Times New Roman"/>
        </w:rPr>
        <w:t>.  To help him learn about the weight machines, Bill was asked to write the name of each machine and mu</w:t>
      </w:r>
      <w:r>
        <w:rPr>
          <w:rFonts w:ascii="Times New Roman" w:hAnsi="Times New Roman"/>
        </w:rPr>
        <w:t>s</w:t>
      </w:r>
      <w:r>
        <w:rPr>
          <w:rFonts w:ascii="Times New Roman" w:hAnsi="Times New Roman"/>
        </w:rPr>
        <w:t>cle group strengthened by it on a 3” x 5” card.  He would then identify something important to remember about the specific machine and note it on the card.  A refined strategy was later developed in which VCU staff modeled the explanation and demonstration of each machine, followed by Bill performing the same functions.  The VCU staff also brought in customers to participate in shar</w:t>
      </w:r>
      <w:r>
        <w:rPr>
          <w:rFonts w:ascii="Times New Roman" w:hAnsi="Times New Roman"/>
        </w:rPr>
        <w:t>p</w:t>
      </w:r>
      <w:r>
        <w:rPr>
          <w:rFonts w:ascii="Times New Roman" w:hAnsi="Times New Roman"/>
        </w:rPr>
        <w:t>ening Bill’s skills.</w:t>
      </w:r>
    </w:p>
    <w:p w:rsidR="00CF1EE4" w:rsidRDefault="00CF1EE4" w:rsidP="00CF1EE4">
      <w:pPr>
        <w:pStyle w:val="BodyTextIndent"/>
        <w:spacing w:line="240" w:lineRule="auto"/>
        <w:rPr>
          <w:rFonts w:ascii="Times New Roman" w:hAnsi="Times New Roman"/>
        </w:rPr>
      </w:pPr>
    </w:p>
    <w:p w:rsidR="00CF1EE4" w:rsidRDefault="00CF1EE4" w:rsidP="00CF1EE4">
      <w:pPr>
        <w:ind w:firstLine="720"/>
      </w:pPr>
      <w:r>
        <w:t>Later in the year, Bill walked out of the club after a verbal exchange with the fitness director.  Bill was frustrated with his inability to understand a specific job function he needed to complete.  VCU staff encouraged Bill to identify potential stress management strategies including exercise, ta</w:t>
      </w:r>
      <w:r>
        <w:t>k</w:t>
      </w:r>
      <w:r>
        <w:t>ing a break, and reading.  With support from the VCU staff, Bill initiated a discussion with the fitness director about his disability and his need for accommodations when feeling stressed.  He selected the tactic of excusing himself for a few minutes and walking outside in the parking lot as one pr</w:t>
      </w:r>
      <w:r>
        <w:t>i</w:t>
      </w:r>
      <w:r>
        <w:t>mary strategy for coping with stress.  The VCU Career Connections staff modeled this behavior for Bill and he later initiated this strategy independently while prodding a student with an introduction to the weight machines.  Another useful strategy suggested for Bill by VCU staff was keeping a daily log of his a</w:t>
      </w:r>
      <w:r>
        <w:t>c</w:t>
      </w:r>
      <w:r>
        <w:t>tivities and feelings to identify potential stressors.  He was taught to review the previous day’s entries and to remember the frequent stress-free days he had experienced to support his growing self-efficacy.</w:t>
      </w:r>
    </w:p>
    <w:p w:rsidR="00CF1EE4" w:rsidRDefault="00CF1EE4" w:rsidP="00CF1EE4">
      <w:pPr>
        <w:ind w:firstLine="720"/>
      </w:pPr>
    </w:p>
    <w:p w:rsidR="00CF1EE4" w:rsidRDefault="00CF1EE4" w:rsidP="00CF1EE4">
      <w:pPr>
        <w:ind w:firstLine="720"/>
      </w:pPr>
      <w:r>
        <w:t>As Bill neared the completion of his internship, the VCU staff and the Virginia Department of Rehabilitative Services helped Bill to arrange informal interviews at health clubs, YMCAs, and recreational centers to network with employers and provide opportunities to practice his intervie</w:t>
      </w:r>
      <w:r>
        <w:t>w</w:t>
      </w:r>
      <w:r>
        <w:t>ing skills.  He also received services from a job coach. Bill obtained a part-time position as a pr</w:t>
      </w:r>
      <w:r>
        <w:t>o</w:t>
      </w:r>
      <w:r>
        <w:t>gram assistant at a local YMCA near his home.  Bill and the Career Connections staff di</w:t>
      </w:r>
      <w:r>
        <w:t>s</w:t>
      </w:r>
      <w:r>
        <w:t>cussed successful support strategies identified during Bill’s internship at an informal meeting with his job coach.  They then modified these effective strategies to fit the env</w:t>
      </w:r>
      <w:r>
        <w:t>i</w:t>
      </w:r>
      <w:r>
        <w:t>ronment of Bill’s new job in the aquatic department.  For example, Bill’s stress management technique of taking walks was modified at his new site to include swimming laps in the pool between aquatic sessions.  Bill also maintained a journal and received one-on-one instruction from his job coach.  Overall, Bill e</w:t>
      </w:r>
      <w:r>
        <w:t>n</w:t>
      </w:r>
      <w:r>
        <w:t>joyed his new job, demonstrated consistent attendance, and participated in various employee s</w:t>
      </w:r>
      <w:r>
        <w:t>o</w:t>
      </w:r>
      <w:r>
        <w:t>cial activities on the weekends.</w:t>
      </w:r>
    </w:p>
    <w:p w:rsidR="00CF1EE4" w:rsidRDefault="00CF1EE4" w:rsidP="00CF1EE4">
      <w:pPr>
        <w:ind w:firstLine="720"/>
      </w:pPr>
    </w:p>
    <w:p w:rsidR="00CF1EE4" w:rsidRDefault="00CF1EE4" w:rsidP="00CF1EE4">
      <w:pPr>
        <w:ind w:firstLine="720"/>
      </w:pPr>
      <w:r>
        <w:t xml:space="preserve">This case study illustrates the concept of </w:t>
      </w:r>
      <w:r>
        <w:rPr>
          <w:i/>
          <w:iCs/>
        </w:rPr>
        <w:t xml:space="preserve">creating futures, </w:t>
      </w:r>
      <w:r>
        <w:t>which includes divergent approaches to problem-solving and requires a person to invent new approaches that capitalize on the individual’s strengths and that are not jeopardized by the individual’s weaknesses (Dowrick &amp; Skouge, 2001).  Such strategies can be employed by adults with disabilities to enhance long-term employment success.  When individuals generate unique solutions to fit their individual learning styles through brainstorming and problem-solving, they create images of future su</w:t>
      </w:r>
      <w:r>
        <w:t>c</w:t>
      </w:r>
      <w:r>
        <w:t xml:space="preserve">cess that they have not previously achieved—known as </w:t>
      </w:r>
      <w:r>
        <w:rPr>
          <w:i/>
          <w:iCs/>
        </w:rPr>
        <w:t>feedforward</w:t>
      </w:r>
      <w:r>
        <w:t xml:space="preserve"> (Dowrick, 1999).</w:t>
      </w:r>
    </w:p>
    <w:p w:rsidR="00CF1EE4" w:rsidRDefault="00CF1EE4" w:rsidP="00CF1EE4">
      <w:pPr>
        <w:ind w:firstLine="720"/>
      </w:pPr>
    </w:p>
    <w:p w:rsidR="00CF1EE4" w:rsidRDefault="00CF1EE4" w:rsidP="00CF1EE4">
      <w:pPr>
        <w:ind w:firstLine="720"/>
      </w:pPr>
      <w:r>
        <w:t xml:space="preserve">Bill’s ability to collaborate and problem-solve with his VCU Career Connections team and health club staff resulted in the development of unique methods and interventions specific to his challenges.  Activities such as </w:t>
      </w:r>
      <w:proofErr w:type="gramStart"/>
      <w:r>
        <w:t>role playing</w:t>
      </w:r>
      <w:proofErr w:type="gramEnd"/>
      <w:r>
        <w:t>, stress management, tasks development, and memorizing exemplify methods to facilitate success on multiple levels.  Successful interventions and strategies were transferred into the subsequent work environment to ensure ong</w:t>
      </w:r>
      <w:r>
        <w:t>o</w:t>
      </w:r>
      <w:r>
        <w:t>ing success.</w:t>
      </w:r>
    </w:p>
    <w:p w:rsidR="00CF1EE4" w:rsidRDefault="00CF1EE4" w:rsidP="00CF1EE4"/>
    <w:p w:rsidR="00CF1EE4" w:rsidRDefault="00CF1EE4" w:rsidP="00CF1EE4">
      <w:r>
        <w:t>Case Example # 3</w:t>
      </w:r>
    </w:p>
    <w:p w:rsidR="00CF1EE4" w:rsidRDefault="00CF1EE4" w:rsidP="00CF1EE4">
      <w:pPr>
        <w:pStyle w:val="Footer"/>
        <w:tabs>
          <w:tab w:val="clear" w:pos="4320"/>
          <w:tab w:val="clear" w:pos="8640"/>
        </w:tabs>
        <w:rPr>
          <w:bCs/>
        </w:rPr>
      </w:pPr>
    </w:p>
    <w:p w:rsidR="00CF1EE4" w:rsidRDefault="00CF1EE4" w:rsidP="00CF1EE4">
      <w:pPr>
        <w:pStyle w:val="BodyTextIndent"/>
        <w:spacing w:line="240" w:lineRule="auto"/>
        <w:rPr>
          <w:rFonts w:ascii="Times New Roman" w:hAnsi="Times New Roman"/>
          <w:szCs w:val="24"/>
        </w:rPr>
      </w:pPr>
      <w:r>
        <w:rPr>
          <w:rFonts w:ascii="Times New Roman" w:hAnsi="Times New Roman"/>
          <w:szCs w:val="24"/>
        </w:rPr>
        <w:t xml:space="preserve">At 44 years of age, “Steve” elected to pursue a career in professional photography.  He had previously completed several years of coursework at a college in Rhode Island and later moved with his parents to Virginia.  He transferred to Virginia Commonwealth University to complete his degree.  In his late thirties, Steve was in a car accident and subsequently experienced depression.  He was later diagnosed with attention deficit disorder and a learning disability.  Steve’s psychiatrist prescribed medication to assist with managing the attention deficits. </w:t>
      </w:r>
    </w:p>
    <w:p w:rsidR="00CF1EE4" w:rsidRDefault="00CF1EE4" w:rsidP="00CF1EE4">
      <w:pPr>
        <w:pStyle w:val="BodyTextIndent"/>
        <w:spacing w:line="240" w:lineRule="auto"/>
        <w:rPr>
          <w:rFonts w:ascii="Times New Roman" w:hAnsi="Times New Roman"/>
          <w:szCs w:val="24"/>
        </w:rPr>
      </w:pPr>
    </w:p>
    <w:p w:rsidR="00CF1EE4" w:rsidRDefault="00CF1EE4" w:rsidP="00CF1EE4">
      <w:pPr>
        <w:ind w:firstLine="720"/>
      </w:pPr>
      <w:r>
        <w:t>Steve contacted the VCU Career Connections program, wanting a part-time job in photography, his main field of interest.  His long-term goals revolved around photography at special events, for magazines, or in studio work.  He also had an interest in filmmaking.  Steve felt intimidated by the interview process and lacked confidence about his ability to be successful in the photography field.  He had not been interviewed in a long time and was unce</w:t>
      </w:r>
      <w:r>
        <w:t>r</w:t>
      </w:r>
      <w:r>
        <w:t>tain about expectations in that profession.</w:t>
      </w:r>
    </w:p>
    <w:p w:rsidR="00CF1EE4" w:rsidRDefault="00CF1EE4" w:rsidP="00CF1EE4">
      <w:pPr>
        <w:ind w:firstLine="720"/>
      </w:pPr>
    </w:p>
    <w:p w:rsidR="00CF1EE4" w:rsidRDefault="00CF1EE4" w:rsidP="00CF1EE4">
      <w:pPr>
        <w:pStyle w:val="BodyTextIndent"/>
        <w:spacing w:line="240" w:lineRule="auto"/>
        <w:rPr>
          <w:rFonts w:ascii="Times New Roman" w:hAnsi="Times New Roman"/>
        </w:rPr>
      </w:pPr>
      <w:r>
        <w:rPr>
          <w:rFonts w:ascii="Times New Roman" w:hAnsi="Times New Roman"/>
        </w:rPr>
        <w:t>Steve registered with the Disability Support Services on campus and received accommodations in his classes.  He received extended time for tests and assignments and he taped his lectures, but still stru</w:t>
      </w:r>
      <w:r>
        <w:rPr>
          <w:rFonts w:ascii="Times New Roman" w:hAnsi="Times New Roman"/>
        </w:rPr>
        <w:t>g</w:t>
      </w:r>
      <w:r>
        <w:rPr>
          <w:rFonts w:ascii="Times New Roman" w:hAnsi="Times New Roman"/>
        </w:rPr>
        <w:t>gled to maintain a grade point average of 2.3.  He had difficulty with short-term memory and he transposed letters when reading and writing.  Steve learned best in his “hands on” classes and he benefited from immediate feedback on his performance.  His technical skills were excellent.</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 xml:space="preserve">Steve’s work history included several years of service in the Navy after high school, mill operator for 10 years, and a variety of odd jobs, including work as a substitute teacher and security officer.  He reported that he required extra time to learn job tasks and that he used strategies to assist </w:t>
      </w:r>
      <w:proofErr w:type="gramStart"/>
      <w:r>
        <w:rPr>
          <w:rFonts w:ascii="Times New Roman" w:hAnsi="Times New Roman"/>
        </w:rPr>
        <w:t>himself</w:t>
      </w:r>
      <w:proofErr w:type="gramEnd"/>
      <w:r>
        <w:rPr>
          <w:rFonts w:ascii="Times New Roman" w:hAnsi="Times New Roman"/>
        </w:rPr>
        <w:t xml:space="preserve"> with learning (e.g., he wrote out formulas on 3” x 5” cards for mixing dyes at the mill).  For recreation, Steve enjoyed camping, fishing, scuba diving, and boating.  He had also been an assistant Scou</w:t>
      </w:r>
      <w:r>
        <w:rPr>
          <w:rFonts w:ascii="Times New Roman" w:hAnsi="Times New Roman"/>
        </w:rPr>
        <w:t>t</w:t>
      </w:r>
      <w:r>
        <w:rPr>
          <w:rFonts w:ascii="Times New Roman" w:hAnsi="Times New Roman"/>
        </w:rPr>
        <w:t>master for several years during which he taught boys photography and electronics for their merit badges.</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To address Steve’s academic issues, the Career Connections Program provided Steve with information about other campus resources such as the Writing Center, and regular workshops on to</w:t>
      </w:r>
      <w:r>
        <w:rPr>
          <w:rFonts w:ascii="Times New Roman" w:hAnsi="Times New Roman"/>
        </w:rPr>
        <w:t>p</w:t>
      </w:r>
      <w:r>
        <w:rPr>
          <w:rFonts w:ascii="Times New Roman" w:hAnsi="Times New Roman"/>
        </w:rPr>
        <w:t>ics including how to decode textbooks or prepare for finals.  Fortunately, many of Steve’s classes focused on technical skills.  Since Steve’s diagnosis had been relatively recent, contact information was also given regarding a support group for adults with a</w:t>
      </w:r>
      <w:r>
        <w:rPr>
          <w:rFonts w:ascii="Times New Roman" w:hAnsi="Times New Roman"/>
        </w:rPr>
        <w:t>t</w:t>
      </w:r>
      <w:r>
        <w:rPr>
          <w:rFonts w:ascii="Times New Roman" w:hAnsi="Times New Roman"/>
        </w:rPr>
        <w:t>tention deficit disorder.</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It was agreed that participation in informal interviews would be a less threatening way for Steve to explore the photography profession.  Steve preferred not to disclose his disability to his employers.  VCU staff arranged several informational interviews with photographers, including specialists in a private studio, in a fine arts museum, and in aviation photography.  The inte</w:t>
      </w:r>
      <w:r>
        <w:rPr>
          <w:rFonts w:ascii="Times New Roman" w:hAnsi="Times New Roman"/>
        </w:rPr>
        <w:t>r</w:t>
      </w:r>
      <w:r>
        <w:rPr>
          <w:rFonts w:ascii="Times New Roman" w:hAnsi="Times New Roman"/>
        </w:rPr>
        <w:t>views were informal and included a review of Steve’s portfolio, a review of his photographic equipment, and discussions concerning career options.  VCU Career Connections staff provided Steve with suggestions of organizations to join and ways to get started in the field.  The process built Steve’s conf</w:t>
      </w:r>
      <w:r>
        <w:rPr>
          <w:rFonts w:ascii="Times New Roman" w:hAnsi="Times New Roman"/>
        </w:rPr>
        <w:t>i</w:t>
      </w:r>
      <w:r>
        <w:rPr>
          <w:rFonts w:ascii="Times New Roman" w:hAnsi="Times New Roman"/>
        </w:rPr>
        <w:t>dence in his abilities and his career choice.</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Next, a summer internship was secured for him at a local newspaper by the Career Connections staff.  The VCU School of the Arts encouraged qualified students to enter into limited and carefully selected internship arrangements, but did not have any available for the summer.  The Career Connections staff and Steve felt that an internship opportunity would greatly assist him in learning more about the photography field and to gain further experience.  Steve was provided with assistance in identifying opportunities and completing the application process.  He took full advantage of the potential networking opportunities.  He initiated travel to a local movie set connected with a film photographer.  Steve’s photograph of the movie set made the front page of the local newspaper and he delivered several copies to the film photographer.  He developed and maintained a friendship with the film photographer, learned about additional ways to get started in the field, and job-shadowed this photographer at another movie location.</w:t>
      </w:r>
    </w:p>
    <w:p w:rsidR="00CF1EE4" w:rsidRDefault="00CF1EE4" w:rsidP="00CF1EE4">
      <w:pPr>
        <w:pStyle w:val="BodyTextIndent"/>
        <w:spacing w:line="240" w:lineRule="auto"/>
        <w:rPr>
          <w:rFonts w:ascii="Times New Roman" w:hAnsi="Times New Roman"/>
        </w:rPr>
      </w:pPr>
    </w:p>
    <w:p w:rsidR="00CF1EE4" w:rsidRDefault="00CF1EE4" w:rsidP="00CF1EE4">
      <w:pPr>
        <w:pStyle w:val="BodyTextIndent"/>
        <w:spacing w:line="240" w:lineRule="auto"/>
        <w:rPr>
          <w:rFonts w:ascii="Times New Roman" w:hAnsi="Times New Roman"/>
        </w:rPr>
      </w:pPr>
      <w:r>
        <w:rPr>
          <w:rFonts w:ascii="Times New Roman" w:hAnsi="Times New Roman"/>
        </w:rPr>
        <w:t>Throughout the next year, Steve participated in additional informational interviews with free-lance photographers, university media services, newspaper photographers, field producers, and job fair representatives.  He eagerly followed suggestions made by employers, such as joining the National Press Photographers Association, a local film office, and the International Freelance Photographer’s Organization, which e</w:t>
      </w:r>
      <w:r>
        <w:rPr>
          <w:rFonts w:ascii="Times New Roman" w:hAnsi="Times New Roman"/>
        </w:rPr>
        <w:t>n</w:t>
      </w:r>
      <w:r>
        <w:rPr>
          <w:rFonts w:ascii="Times New Roman" w:hAnsi="Times New Roman"/>
        </w:rPr>
        <w:t>abled his photos to appear on their website.  Through Steve’s multiple contacts, he s</w:t>
      </w:r>
      <w:r>
        <w:rPr>
          <w:rFonts w:ascii="Times New Roman" w:hAnsi="Times New Roman"/>
        </w:rPr>
        <w:t>e</w:t>
      </w:r>
      <w:r>
        <w:rPr>
          <w:rFonts w:ascii="Times New Roman" w:hAnsi="Times New Roman"/>
        </w:rPr>
        <w:t xml:space="preserve">cured a position working as a photographer for a large agency through which he had the opportunity to photograph Rod Stewart and Reba McIntyre in concert.  Steve now plans on marketing his photographs to various magazines to continue building his reputation and personal business. </w:t>
      </w:r>
    </w:p>
    <w:p w:rsidR="00CF1EE4" w:rsidRDefault="00CF1EE4" w:rsidP="00CF1EE4">
      <w:pPr>
        <w:pStyle w:val="BodyTextIndent"/>
        <w:spacing w:line="240" w:lineRule="auto"/>
        <w:rPr>
          <w:rFonts w:ascii="Times New Roman" w:hAnsi="Times New Roman"/>
        </w:rPr>
      </w:pPr>
    </w:p>
    <w:p w:rsidR="00CF1EE4" w:rsidRDefault="00CF1EE4" w:rsidP="00CF1EE4">
      <w:r>
        <w:tab/>
        <w:t>The previous case scenario demonstrates how an internship setting can be an optimal place for developing self-determination skills.  There is a positive relationship between individuals who develop an internal locus of control and the demonstration of self-determination.  Research has indicated that as people have the opportunity to choose, and to make decisions and actions a</w:t>
      </w:r>
      <w:r>
        <w:t>c</w:t>
      </w:r>
      <w:r>
        <w:t>cording to their own environment, they develop an internal locus of control (Lefcourt, 1984) and individuals with disabilities gain control over major life events (Wehmeyer &amp; Garner, 2003).  Several researchers have questioned the possibility of developing self-determination for some individuals with disabilities who are consistently limited or denied the opportunity to make their own decisions (see Dowrick &amp; Skouge, 2001).  Steve’s decision to enter the field of photogr</w:t>
      </w:r>
      <w:r>
        <w:t>a</w:t>
      </w:r>
      <w:r>
        <w:t xml:space="preserve">phy was an </w:t>
      </w:r>
      <w:r>
        <w:rPr>
          <w:i/>
          <w:iCs/>
        </w:rPr>
        <w:t>internally driven</w:t>
      </w:r>
      <w:r>
        <w:t xml:space="preserve"> choice that was based on his interests and skill level.  With the assi</w:t>
      </w:r>
      <w:r>
        <w:t>s</w:t>
      </w:r>
      <w:r>
        <w:t>tance of the VCU staff, Steve was able to self-advocate for his needed supports and to gain a</w:t>
      </w:r>
      <w:r>
        <w:t>c</w:t>
      </w:r>
      <w:r>
        <w:t>cess to opportunities within his chosen field.  Steve also demonstrated decision-making skills (e.g., setting goals and standards, identifying information upon which to base his decisions, ge</w:t>
      </w:r>
      <w:r>
        <w:t>n</w:t>
      </w:r>
      <w:r>
        <w:t>erating new solutions when needed, and choosing the best option to develop a plan).</w:t>
      </w:r>
    </w:p>
    <w:p w:rsidR="00CF1EE4" w:rsidRDefault="00CF1EE4" w:rsidP="00CF1EE4">
      <w:pPr>
        <w:pStyle w:val="Footer"/>
        <w:tabs>
          <w:tab w:val="clear" w:pos="4320"/>
          <w:tab w:val="clear" w:pos="8640"/>
        </w:tabs>
        <w:rPr>
          <w:bCs/>
        </w:rPr>
      </w:pPr>
    </w:p>
    <w:p w:rsidR="00CF1EE4" w:rsidRDefault="00CF1EE4" w:rsidP="00CF1EE4">
      <w:pPr>
        <w:jc w:val="center"/>
        <w:rPr>
          <w:bCs/>
        </w:rPr>
      </w:pPr>
      <w:r>
        <w:rPr>
          <w:bCs/>
        </w:rPr>
        <w:t>Discussion</w:t>
      </w:r>
    </w:p>
    <w:p w:rsidR="00CF1EE4" w:rsidRDefault="00CF1EE4" w:rsidP="00CF1EE4"/>
    <w:p w:rsidR="00CF1EE4" w:rsidRDefault="00CF1EE4" w:rsidP="00CF1EE4">
      <w:pPr>
        <w:ind w:firstLine="720"/>
      </w:pPr>
      <w:r>
        <w:t xml:space="preserve">This article summarizes experiences in the lives of three individuals.  In each situation there were moments in which the system could have worked better for these students.  In each case, the individuals were able to avail themselves of staff and other advocates from within their environment to give leverage to their own self-determination, often through considerable </w:t>
      </w:r>
      <w:proofErr w:type="gramStart"/>
      <w:r>
        <w:t>problem-solving</w:t>
      </w:r>
      <w:proofErr w:type="gramEnd"/>
      <w:r>
        <w:t xml:space="preserve"> and experimentation to find out what worked as a solution acceptable for them.  There were instances of making connections between early employment experiences and current opportunities.  Here it was mostly university-based staff </w:t>
      </w:r>
      <w:proofErr w:type="gramStart"/>
      <w:r>
        <w:t>who</w:t>
      </w:r>
      <w:proofErr w:type="gramEnd"/>
      <w:r>
        <w:t xml:space="preserve"> initiated a series of experiences that proved substantially responsible for the success of the graduating student in the workplace.  Another evident </w:t>
      </w:r>
      <w:proofErr w:type="gramStart"/>
      <w:r>
        <w:t>theme which emerges</w:t>
      </w:r>
      <w:proofErr w:type="gramEnd"/>
      <w:r>
        <w:t xml:space="preserve"> is the students’ considerable inner strength, perhaps the bi</w:t>
      </w:r>
      <w:r>
        <w:t>g</w:t>
      </w:r>
      <w:r>
        <w:t>gest factor in achieving their educational goals.</w:t>
      </w:r>
    </w:p>
    <w:p w:rsidR="00CF1EE4" w:rsidRDefault="00CF1EE4" w:rsidP="00CF1EE4">
      <w:pPr>
        <w:ind w:firstLine="720"/>
      </w:pPr>
    </w:p>
    <w:p w:rsidR="00CF1EE4" w:rsidRDefault="00CF1EE4" w:rsidP="00CF1EE4">
      <w:r>
        <w:tab/>
      </w:r>
      <w:r>
        <w:rPr>
          <w:sz w:val="20"/>
          <w:szCs w:val="20"/>
          <w:lang w:val="en-CA"/>
        </w:rPr>
        <w:fldChar w:fldCharType="begin"/>
      </w:r>
      <w:r>
        <w:rPr>
          <w:sz w:val="20"/>
          <w:szCs w:val="20"/>
          <w:lang w:val="en-CA"/>
        </w:rPr>
        <w:instrText xml:space="preserve"> SEQ CHAPTER \h \r 1</w:instrText>
      </w:r>
      <w:r>
        <w:rPr>
          <w:sz w:val="20"/>
          <w:szCs w:val="20"/>
          <w:lang w:val="en-CA"/>
        </w:rPr>
        <w:fldChar w:fldCharType="end"/>
      </w:r>
      <w:r>
        <w:t>“Dawn” benefited from an early job success in launching a career.  Her story illustrates the way in which prior employment can help employers focus their attention on previous work qualities, instead of her disability.  This focus was partially brought about with Dawn learning about community supports available to her, and informing a potential employer about how technology enhanced her work performance.</w:t>
      </w:r>
    </w:p>
    <w:p w:rsidR="00CF1EE4" w:rsidRDefault="00CF1EE4" w:rsidP="00CF1EE4"/>
    <w:p w:rsidR="00CF1EE4" w:rsidRDefault="00CF1EE4" w:rsidP="00CF1EE4">
      <w:pPr>
        <w:ind w:firstLine="720"/>
      </w:pPr>
      <w:r>
        <w:t xml:space="preserve">Postsecondary educational training that provides internship experience can be crucial to preparation for employment.  “Bill” succeeded in adapting to and compensating for his psychiatric disability.  He benefited from working with support through on-the-job training situations that differed from college training.  He was able to practice disclosing his disability, incorporating strategies into his work routine to help him learn a new work routine or to reduce his stress. </w:t>
      </w:r>
    </w:p>
    <w:p w:rsidR="00CF1EE4" w:rsidRDefault="00CF1EE4" w:rsidP="00CF1EE4">
      <w:pPr>
        <w:ind w:firstLine="720"/>
      </w:pPr>
    </w:p>
    <w:p w:rsidR="00CF1EE4" w:rsidRDefault="00CF1EE4" w:rsidP="00CF1EE4">
      <w:r>
        <w:tab/>
      </w:r>
      <w:r>
        <w:rPr>
          <w:sz w:val="20"/>
          <w:szCs w:val="20"/>
          <w:lang w:val="en-CA"/>
        </w:rPr>
        <w:fldChar w:fldCharType="begin"/>
      </w:r>
      <w:r>
        <w:rPr>
          <w:sz w:val="20"/>
          <w:szCs w:val="20"/>
          <w:lang w:val="en-CA"/>
        </w:rPr>
        <w:instrText xml:space="preserve"> SEQ CHAPTER \h \r 1</w:instrText>
      </w:r>
      <w:r>
        <w:rPr>
          <w:sz w:val="20"/>
          <w:szCs w:val="20"/>
          <w:lang w:val="en-CA"/>
        </w:rPr>
        <w:fldChar w:fldCharType="end"/>
      </w:r>
      <w:r>
        <w:t>“Steve” elected not to disclose his disabilities to employers; however, he worked with the Career Connections staff to establish informational interviews to learn as much as possible about his profession.  Steve’s internship proved to be an invaluable experience for him.  It enabled him to learn how to assess the demands of his work environment, and to determine if supports were needed to assist him in successfully meeting these demands.</w:t>
      </w:r>
    </w:p>
    <w:p w:rsidR="00CF1EE4" w:rsidRDefault="00CF1EE4" w:rsidP="00CF1EE4"/>
    <w:p w:rsidR="00CF1EE4" w:rsidRDefault="00CF1EE4" w:rsidP="00CF1EE4">
      <w:pPr>
        <w:ind w:firstLine="720"/>
      </w:pPr>
      <w:r>
        <w:t>The case studies presented in this article provide examples of students with disabilities who needed varying levels of support to better understand how to problem solve and request accommodations within their work environments.  Each student needed to affirm their strengths and abilities, and used informational interviewing, job shadowing, or internships as mechanisms to test new strategies to effectively interact in the work place.  As a result, these three students were able to pursue their chosen careers.</w:t>
      </w:r>
    </w:p>
    <w:p w:rsidR="00CF1EE4" w:rsidRDefault="00CF1EE4" w:rsidP="00CF1EE4"/>
    <w:p w:rsidR="00CF1EE4" w:rsidRDefault="00CF1EE4" w:rsidP="00CF1EE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Peter W. Dowrick, Ph.D.</w:t>
      </w:r>
      <w:r>
        <w:t xml:space="preserve">, is Professor of Disability Studies and Psychology at the University of Hawaii.  He has wide experience working with people marginalized by culture, disability, mental health, and other considerations.  His overarching contribution has been in the concepts of </w:t>
      </w:r>
      <w:r>
        <w:rPr>
          <w:i/>
          <w:iCs/>
        </w:rPr>
        <w:t>feedforward</w:t>
      </w:r>
      <w:r>
        <w:t xml:space="preserve"> and </w:t>
      </w:r>
      <w:r>
        <w:rPr>
          <w:i/>
          <w:iCs/>
        </w:rPr>
        <w:t>creating futures,</w:t>
      </w:r>
      <w:r>
        <w:t xml:space="preserve"> applied in situations of personal safety, serious mental illness, social behavior, sports and recreation, daily living, literacy, academic skills, health, housing, management, and jobs, among others.  Correspondence concerning this article can be sent to: Dr. Peter W. Dowrick, 1776 University Av. UA 4-6, University of Hawaii, Manoa, HI 96822, USA, (808) 956-8741 (telephone), (808) 956-4371 (fax), or </w:t>
      </w:r>
      <w:hyperlink r:id="rId5" w:history="1">
        <w:r>
          <w:rPr>
            <w:rStyle w:val="Hyperlink"/>
          </w:rPr>
          <w:t>dowrick@hawaii.edu</w:t>
        </w:r>
      </w:hyperlink>
      <w:r>
        <w:t>.</w:t>
      </w:r>
    </w:p>
    <w:p w:rsidR="00CF1EE4" w:rsidRDefault="00CF1EE4" w:rsidP="00CF1EE4"/>
    <w:p w:rsidR="00CF1EE4" w:rsidRDefault="00CF1EE4" w:rsidP="00CF1EE4">
      <w:r>
        <w:rPr>
          <w:b/>
          <w:bCs/>
        </w:rPr>
        <w:t>Elizabeth Evans Getzel, M.A.</w:t>
      </w:r>
      <w:r>
        <w:t>, is the VCU-RRTC Director of Postsecondary Education Initiatives at Virginia Commonwealth University in Richmond, Virginia.  She has over 20 years of experience conducting research, evaluation, and training in the areas of transition planning for secondary students with disabilities, postsecondary education for student with disabilities, and career planning/employment for individuals with disabilities.</w:t>
      </w:r>
    </w:p>
    <w:p w:rsidR="00CF1EE4" w:rsidRDefault="00CF1EE4" w:rsidP="00CF1EE4"/>
    <w:p w:rsidR="00CF1EE4" w:rsidRDefault="00CF1EE4" w:rsidP="00CF1EE4">
      <w:r>
        <w:rPr>
          <w:b/>
          <w:bCs/>
        </w:rPr>
        <w:t>Lori W. Briel, M.Ed.</w:t>
      </w:r>
      <w:r>
        <w:t>, is a Research Associate at the VCU-RRTC in Richmond, Virginia.  Currently, she provides comprehensive career planning and placement services for postsecondary students with disabilities.  Additionally, she assists with the development activities for university faculty.  She has co-authored several journal articles and a book chapter in these areas.</w:t>
      </w:r>
    </w:p>
    <w:p w:rsidR="00CF1EE4" w:rsidRDefault="00CF1EE4" w:rsidP="00CF1EE4"/>
    <w:p w:rsidR="00CF1EE4" w:rsidRDefault="00CF1EE4" w:rsidP="00CF1EE4">
      <w:pPr>
        <w:jc w:val="center"/>
      </w:pPr>
      <w:r>
        <w:t>References</w:t>
      </w:r>
    </w:p>
    <w:p w:rsidR="00CF1EE4" w:rsidRDefault="00CF1EE4" w:rsidP="00CF1EE4">
      <w:pPr>
        <w:rPr>
          <w:u w:val="single"/>
        </w:rPr>
      </w:pPr>
    </w:p>
    <w:p w:rsidR="00CF1EE4" w:rsidRDefault="00CF1EE4" w:rsidP="00CF1EE4">
      <w:pPr>
        <w:ind w:left="720" w:hanging="720"/>
      </w:pPr>
      <w:r>
        <w:t xml:space="preserve">Briel, L., &amp; Getzel, E. (2001).  Internships in higher education: Promoting success for students with disabilities. </w:t>
      </w:r>
      <w:proofErr w:type="gramStart"/>
      <w:r>
        <w:rPr>
          <w:i/>
          <w:iCs/>
        </w:rPr>
        <w:t>Disabilities Studies Quarterly.</w:t>
      </w:r>
      <w:proofErr w:type="gramEnd"/>
      <w:r>
        <w:t xml:space="preserve">  Retrieved February 2004, from http://www.cds.hawaii.edu/dsq/_articles_pdf /2001/Winter/dsq_2001_Winter_06.pdf</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Columbus, M. A., &amp; Mithaug, D. E. (2003).  </w:t>
      </w:r>
      <w:proofErr w:type="gramStart"/>
      <w:r>
        <w:t>The effects of self-regulated problem-solving instruction on the self-determination of secondary students with disabilities.</w:t>
      </w:r>
      <w:proofErr w:type="gramEnd"/>
      <w:r>
        <w:t xml:space="preserve">  In D. E. Mithaug &amp; D. K. Mithaug (Eds.), </w:t>
      </w:r>
      <w:r>
        <w:rPr>
          <w:i/>
          <w:iCs/>
        </w:rPr>
        <w:t>Self-determined learning theory: Construction, verification, and evaluation</w:t>
      </w:r>
      <w:r>
        <w:t xml:space="preserve"> (pp. 172-189). Mahwah, NJ: Er</w:t>
      </w:r>
      <w:r>
        <w:t>l</w:t>
      </w:r>
      <w:r>
        <w:t>baum.</w:t>
      </w:r>
      <w:r>
        <w:rPr>
          <w:i/>
          <w:iCs/>
        </w:rPr>
        <w:t xml:space="preserve"> </w:t>
      </w:r>
      <w:r>
        <w:t xml:space="preserve"> </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Dowrick, P. W. (1999).  A review of </w:t>
      </w:r>
      <w:proofErr w:type="gramStart"/>
      <w:r>
        <w:t>self modeling</w:t>
      </w:r>
      <w:proofErr w:type="gramEnd"/>
      <w:r>
        <w:t xml:space="preserve"> and related applications.  </w:t>
      </w:r>
      <w:proofErr w:type="gramStart"/>
      <w:r>
        <w:rPr>
          <w:i/>
          <w:iCs/>
        </w:rPr>
        <w:t>Applied and Preventive Psychology, 8,</w:t>
      </w:r>
      <w:r>
        <w:t xml:space="preserve"> 23-39.</w:t>
      </w:r>
      <w:proofErr w:type="gramEnd"/>
    </w:p>
    <w:p w:rsidR="00CF1EE4" w:rsidRDefault="00CF1EE4" w:rsidP="00CF1EE4">
      <w:pPr>
        <w:ind w:left="720" w:hanging="720"/>
      </w:pPr>
    </w:p>
    <w:p w:rsidR="00CF1EE4" w:rsidRDefault="00CF1EE4" w:rsidP="00CF1EE4">
      <w:pPr>
        <w:ind w:left="720" w:hanging="720"/>
      </w:pPr>
      <w:r>
        <w:t xml:space="preserve">Dowrick, P. W. (2000).  </w:t>
      </w:r>
      <w:r>
        <w:rPr>
          <w:i/>
          <w:iCs/>
        </w:rPr>
        <w:t>Research findings brief: Case reports on students with disabilities in pos</w:t>
      </w:r>
      <w:r>
        <w:rPr>
          <w:i/>
          <w:iCs/>
        </w:rPr>
        <w:t>t</w:t>
      </w:r>
      <w:r>
        <w:rPr>
          <w:i/>
          <w:iCs/>
        </w:rPr>
        <w:t>secondary education</w:t>
      </w:r>
      <w:r>
        <w:t>. National Center for the Study of Postsecondary Education Supports, University of Hawaii at Manoa.</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Dowrick, P. W., &amp; Crespo, N. (2004).  </w:t>
      </w:r>
      <w:proofErr w:type="gramStart"/>
      <w:r>
        <w:t>Prevention and treatment of school failure in adolescence.</w:t>
      </w:r>
      <w:proofErr w:type="gramEnd"/>
      <w:r>
        <w:t xml:space="preserve">  In T. Gullotta &amp; G. Adams (Eds.), </w:t>
      </w:r>
      <w:r>
        <w:rPr>
          <w:i/>
          <w:iCs/>
        </w:rPr>
        <w:t>Handbook on the treatment and prevention of dysfunctional behavior in adolescence.</w:t>
      </w:r>
      <w:r>
        <w:t xml:space="preserve">  New York: Kluwer/Academic (in press).</w:t>
      </w:r>
    </w:p>
    <w:p w:rsidR="00CF1EE4" w:rsidRDefault="00CF1EE4" w:rsidP="00CF1EE4">
      <w:pPr>
        <w:ind w:left="720" w:hanging="720"/>
      </w:pPr>
    </w:p>
    <w:p w:rsidR="00CF1EE4" w:rsidRDefault="00CF1EE4" w:rsidP="00CF1EE4">
      <w:pPr>
        <w:ind w:left="720" w:hanging="720"/>
      </w:pPr>
      <w:r>
        <w:t>Dowrick, P. W., &amp; Skouge, J. (2001).  Creating futures: Potential of video empowerment in postse</w:t>
      </w:r>
      <w:r>
        <w:t>c</w:t>
      </w:r>
      <w:r>
        <w:t xml:space="preserve">ondary education.  </w:t>
      </w:r>
      <w:proofErr w:type="gramStart"/>
      <w:r>
        <w:rPr>
          <w:i/>
          <w:iCs/>
        </w:rPr>
        <w:t>Disability Studies Quarterly,</w:t>
      </w:r>
      <w:r>
        <w:rPr>
          <w:b/>
          <w:bCs/>
          <w:i/>
          <w:iCs/>
        </w:rPr>
        <w:t xml:space="preserve"> </w:t>
      </w:r>
      <w:r>
        <w:rPr>
          <w:bCs/>
          <w:i/>
          <w:iCs/>
        </w:rPr>
        <w:t>21,</w:t>
      </w:r>
      <w:r>
        <w:t xml:space="preserve"> 59-76.</w:t>
      </w:r>
      <w:proofErr w:type="gramEnd"/>
    </w:p>
    <w:p w:rsidR="00CF1EE4" w:rsidRDefault="00CF1EE4" w:rsidP="00CF1EE4">
      <w:pPr>
        <w:ind w:left="720" w:hanging="720"/>
      </w:pPr>
    </w:p>
    <w:p w:rsidR="00CF1EE4" w:rsidRDefault="00CF1EE4" w:rsidP="00CF1EE4">
      <w:pPr>
        <w:ind w:left="720" w:hanging="720"/>
      </w:pPr>
      <w:r>
        <w:t xml:space="preserve">Gartin, B. P., Rumrill, P., &amp; Serebreni, R. (1996). The higher education transition model: Guidelines for facilitating college transition among college bound student with disabilities. </w:t>
      </w:r>
      <w:r>
        <w:rPr>
          <w:i/>
          <w:iCs/>
        </w:rPr>
        <w:t>Teaching Exce</w:t>
      </w:r>
      <w:r>
        <w:rPr>
          <w:i/>
          <w:iCs/>
        </w:rPr>
        <w:t>p</w:t>
      </w:r>
      <w:r>
        <w:rPr>
          <w:i/>
          <w:iCs/>
        </w:rPr>
        <w:t>tional Children</w:t>
      </w:r>
      <w:r>
        <w:t xml:space="preserve">, </w:t>
      </w:r>
      <w:r>
        <w:rPr>
          <w:bCs/>
          <w:i/>
          <w:iCs/>
        </w:rPr>
        <w:t>28</w:t>
      </w:r>
      <w:r>
        <w:t xml:space="preserve">(5), 30-33. </w:t>
      </w:r>
    </w:p>
    <w:p w:rsidR="00CF1EE4" w:rsidRDefault="00CF1EE4" w:rsidP="00CF1EE4">
      <w:pPr>
        <w:pStyle w:val="References"/>
        <w:spacing w:line="240" w:lineRule="auto"/>
        <w:rPr>
          <w:rFonts w:ascii="Times New Roman" w:eastAsia="Times New Roman" w:hAnsi="Times New Roman"/>
          <w:szCs w:val="24"/>
        </w:rPr>
      </w:pPr>
    </w:p>
    <w:p w:rsidR="00CF1EE4" w:rsidRDefault="00CF1EE4" w:rsidP="00CF1EE4">
      <w:pPr>
        <w:ind w:left="720" w:hanging="720"/>
      </w:pPr>
      <w:proofErr w:type="gramStart"/>
      <w:r>
        <w:t>Gilmore, S., Schuster, J., Zaft, C., &amp; Hart, D. (2003).</w:t>
      </w:r>
      <w:proofErr w:type="gramEnd"/>
      <w:r>
        <w:t xml:space="preserve"> </w:t>
      </w:r>
      <w:proofErr w:type="gramStart"/>
      <w:r>
        <w:t>Postsecondary education services and employment outcomes within the vocational rehabilitation system.</w:t>
      </w:r>
      <w:proofErr w:type="gramEnd"/>
      <w:r>
        <w:t xml:space="preserve"> </w:t>
      </w:r>
      <w:proofErr w:type="gramStart"/>
      <w:r>
        <w:rPr>
          <w:i/>
          <w:iCs/>
        </w:rPr>
        <w:t>Disabilities Studies Quarterly,</w:t>
      </w:r>
      <w:r>
        <w:t xml:space="preserve"> </w:t>
      </w:r>
      <w:r>
        <w:rPr>
          <w:bCs/>
          <w:i/>
          <w:iCs/>
        </w:rPr>
        <w:t>21</w:t>
      </w:r>
      <w:r>
        <w:t>.</w:t>
      </w:r>
      <w:proofErr w:type="gramEnd"/>
      <w:r>
        <w:t xml:space="preserve">  Retrieved September 2003, from http://www.cds. </w:t>
      </w:r>
      <w:proofErr w:type="gramStart"/>
      <w:r>
        <w:t>h</w:t>
      </w:r>
      <w:r>
        <w:t>a</w:t>
      </w:r>
      <w:r>
        <w:t>waii.edu</w:t>
      </w:r>
      <w:proofErr w:type="gramEnd"/>
      <w:r>
        <w:t>/dsq.</w:t>
      </w:r>
    </w:p>
    <w:p w:rsidR="00CF1EE4" w:rsidRDefault="00CF1EE4" w:rsidP="00CF1EE4">
      <w:pPr>
        <w:pStyle w:val="References"/>
        <w:spacing w:line="240" w:lineRule="auto"/>
        <w:rPr>
          <w:rFonts w:ascii="Times New Roman" w:eastAsia="Times New Roman" w:hAnsi="Times New Roman"/>
          <w:szCs w:val="24"/>
        </w:rPr>
      </w:pPr>
    </w:p>
    <w:p w:rsidR="00CF1EE4" w:rsidRDefault="00CF1EE4" w:rsidP="00CF1EE4">
      <w:pPr>
        <w:ind w:left="720" w:hanging="720"/>
      </w:pPr>
      <w:proofErr w:type="gramStart"/>
      <w:r>
        <w:t>Gilson, S. F. (1996).</w:t>
      </w:r>
      <w:proofErr w:type="gramEnd"/>
      <w:r>
        <w:t xml:space="preserve"> Students with disabilities: An increasing voice and presence on college campuses. </w:t>
      </w:r>
      <w:proofErr w:type="gramStart"/>
      <w:r>
        <w:rPr>
          <w:i/>
          <w:iCs/>
        </w:rPr>
        <w:t>Jou</w:t>
      </w:r>
      <w:r>
        <w:rPr>
          <w:i/>
          <w:iCs/>
        </w:rPr>
        <w:t>r</w:t>
      </w:r>
      <w:r>
        <w:rPr>
          <w:i/>
          <w:iCs/>
        </w:rPr>
        <w:t>nal of Vocational Rehabilitation,</w:t>
      </w:r>
      <w:r>
        <w:t xml:space="preserve"> </w:t>
      </w:r>
      <w:r>
        <w:rPr>
          <w:bCs/>
          <w:i/>
          <w:iCs/>
        </w:rPr>
        <w:t>6</w:t>
      </w:r>
      <w:r>
        <w:rPr>
          <w:bCs/>
        </w:rPr>
        <w:t>,</w:t>
      </w:r>
      <w:r>
        <w:t xml:space="preserve"> 263-272.</w:t>
      </w:r>
      <w:proofErr w:type="gramEnd"/>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proofErr w:type="gramStart"/>
      <w:r>
        <w:t>Heiman, T., &amp; Precel, K. (2003).</w:t>
      </w:r>
      <w:proofErr w:type="gramEnd"/>
      <w:r>
        <w:t xml:space="preserve">  Students with learning disabilities in higher education: Academic strategies profile.  </w:t>
      </w:r>
      <w:proofErr w:type="gramStart"/>
      <w:r>
        <w:rPr>
          <w:i/>
          <w:iCs/>
        </w:rPr>
        <w:t>Journal of Learning Disabilities, 36</w:t>
      </w:r>
      <w:r>
        <w:t>, 246-256.</w:t>
      </w:r>
      <w:proofErr w:type="gramEnd"/>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Kilsby, M. S., &amp; Beyer, S. (2002).  Enhancing self-determination in job matching in supported employment for people with learning disabilities: An intervention study.  </w:t>
      </w:r>
      <w:proofErr w:type="gramStart"/>
      <w:r>
        <w:rPr>
          <w:i/>
          <w:iCs/>
        </w:rPr>
        <w:t>Journal of Vocational Rehabilitation, 17</w:t>
      </w:r>
      <w:r>
        <w:t>, 125-135.</w:t>
      </w:r>
      <w:proofErr w:type="gramEnd"/>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Lefcourt, H. M. (1984).  New directions in research with the locus of control construct.  </w:t>
      </w:r>
      <w:proofErr w:type="gramStart"/>
      <w:r>
        <w:rPr>
          <w:i/>
          <w:iCs/>
        </w:rPr>
        <w:t>Psychological Studies, 29</w:t>
      </w:r>
      <w:r>
        <w:t>, 107-111.</w:t>
      </w:r>
      <w:proofErr w:type="gramEnd"/>
    </w:p>
    <w:p w:rsidR="00CF1EE4" w:rsidRDefault="00CF1EE4" w:rsidP="00CF1EE4">
      <w:pPr>
        <w:ind w:left="720" w:hanging="720"/>
      </w:pPr>
    </w:p>
    <w:p w:rsidR="00CF1EE4" w:rsidRDefault="00CF1EE4" w:rsidP="00CF1EE4">
      <w:pPr>
        <w:ind w:left="720" w:hanging="720"/>
      </w:pPr>
      <w:r>
        <w:t>National Center for Education Statistics. (2002)</w:t>
      </w:r>
      <w:proofErr w:type="gramStart"/>
      <w:r>
        <w:t xml:space="preserve">. </w:t>
      </w:r>
      <w:r>
        <w:rPr>
          <w:i/>
          <w:iCs/>
        </w:rPr>
        <w:t>The 1999-2000 National Postsecondary Student Aid Study</w:t>
      </w:r>
      <w:r>
        <w:t>.</w:t>
      </w:r>
      <w:proofErr w:type="gramEnd"/>
      <w:r>
        <w:t xml:space="preserve">  Washington, DC: US Department of Education.</w:t>
      </w:r>
    </w:p>
    <w:p w:rsidR="00CF1EE4" w:rsidRDefault="00CF1EE4" w:rsidP="00CF1EE4">
      <w:pPr>
        <w:ind w:left="720" w:hanging="720"/>
      </w:pPr>
    </w:p>
    <w:p w:rsidR="00CF1EE4" w:rsidRDefault="00CF1EE4" w:rsidP="00CF1EE4">
      <w:pPr>
        <w:ind w:left="720" w:hanging="720"/>
      </w:pPr>
      <w:proofErr w:type="gramStart"/>
      <w:r>
        <w:t>National Organization on Disabilities.</w:t>
      </w:r>
      <w:proofErr w:type="gramEnd"/>
      <w:r>
        <w:t xml:space="preserve"> (1998)</w:t>
      </w:r>
      <w:proofErr w:type="gramStart"/>
      <w:r>
        <w:t xml:space="preserve">.  </w:t>
      </w:r>
      <w:r>
        <w:rPr>
          <w:i/>
          <w:iCs/>
        </w:rPr>
        <w:t>N.O.D./Harris survey of Americans with disabilities.</w:t>
      </w:r>
      <w:proofErr w:type="gramEnd"/>
      <w:r>
        <w:t xml:space="preserve">  Washington, DC: Louis Harris &amp; Associates. </w:t>
      </w:r>
    </w:p>
    <w:p w:rsidR="00CF1EE4" w:rsidRDefault="00CF1EE4" w:rsidP="00CF1EE4">
      <w:pPr>
        <w:ind w:left="720" w:hanging="720"/>
      </w:pPr>
    </w:p>
    <w:p w:rsidR="00CF1EE4" w:rsidRDefault="00CF1EE4" w:rsidP="00CF1EE4">
      <w:pPr>
        <w:ind w:left="720" w:hanging="720"/>
      </w:pPr>
      <w:proofErr w:type="gramStart"/>
      <w:r>
        <w:t>Sharpe, M., Johnson, D. A., Mavis, A., &amp; Rosen, D. (2001).</w:t>
      </w:r>
      <w:proofErr w:type="gramEnd"/>
      <w:r>
        <w:t xml:space="preserve"> Individual experiences of pe</w:t>
      </w:r>
      <w:r>
        <w:t>r</w:t>
      </w:r>
      <w:r>
        <w:t xml:space="preserve">sons with disabilities with state employment systems. </w:t>
      </w:r>
      <w:proofErr w:type="gramStart"/>
      <w:r>
        <w:rPr>
          <w:i/>
          <w:iCs/>
        </w:rPr>
        <w:t>Journal for Vocational Special Needs Educ</w:t>
      </w:r>
      <w:r>
        <w:rPr>
          <w:i/>
          <w:iCs/>
        </w:rPr>
        <w:t>a</w:t>
      </w:r>
      <w:r>
        <w:rPr>
          <w:i/>
          <w:iCs/>
        </w:rPr>
        <w:t>tion,</w:t>
      </w:r>
      <w:r>
        <w:t xml:space="preserve"> </w:t>
      </w:r>
      <w:r>
        <w:rPr>
          <w:bCs/>
          <w:i/>
          <w:iCs/>
        </w:rPr>
        <w:t>23</w:t>
      </w:r>
      <w:r>
        <w:t>(2), 32-41.</w:t>
      </w:r>
      <w:proofErr w:type="gramEnd"/>
      <w:r>
        <w:t xml:space="preserve"> </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Shessel, I., &amp; Reiff, H. B.  (1999). Experiences of adults with learning disabilities: Positive and negative impacts and outcomes.  </w:t>
      </w:r>
      <w:r>
        <w:rPr>
          <w:i/>
          <w:iCs/>
        </w:rPr>
        <w:t>Learning Disability Quarterly, 22</w:t>
      </w:r>
      <w:r>
        <w:t>, 305-316.</w:t>
      </w:r>
    </w:p>
    <w:p w:rsidR="00CF1EE4" w:rsidRDefault="00CF1EE4" w:rsidP="00CF1EE4">
      <w:pPr>
        <w:ind w:left="720" w:hanging="720"/>
      </w:pPr>
    </w:p>
    <w:p w:rsidR="00CF1EE4" w:rsidRDefault="00CF1EE4" w:rsidP="00CF1EE4">
      <w:pPr>
        <w:ind w:left="720" w:hanging="720"/>
      </w:pPr>
      <w:r>
        <w:t>Stodden, R. A. (2001). Postsecondary education supports for students with disabilities: A r</w:t>
      </w:r>
      <w:r>
        <w:t>e</w:t>
      </w:r>
      <w:r>
        <w:t>view and r</w:t>
      </w:r>
      <w:r>
        <w:t>e</w:t>
      </w:r>
      <w:r>
        <w:t xml:space="preserve">sponse.  </w:t>
      </w:r>
      <w:proofErr w:type="gramStart"/>
      <w:r>
        <w:rPr>
          <w:i/>
          <w:iCs/>
        </w:rPr>
        <w:t>Journal for Vocational Special Needs Education,</w:t>
      </w:r>
      <w:r>
        <w:t xml:space="preserve"> </w:t>
      </w:r>
      <w:r>
        <w:rPr>
          <w:bCs/>
          <w:i/>
          <w:iCs/>
        </w:rPr>
        <w:t>23</w:t>
      </w:r>
      <w:r>
        <w:t>(2), 4-10.</w:t>
      </w:r>
      <w:proofErr w:type="gramEnd"/>
    </w:p>
    <w:p w:rsidR="00CF1EE4" w:rsidRDefault="00CF1EE4" w:rsidP="00CF1EE4">
      <w:pPr>
        <w:ind w:left="720" w:hanging="720"/>
      </w:pPr>
    </w:p>
    <w:p w:rsidR="00CF1EE4" w:rsidRDefault="00CF1EE4" w:rsidP="00CF1EE4">
      <w:pPr>
        <w:ind w:left="720" w:hanging="720"/>
      </w:pPr>
      <w:r>
        <w:t xml:space="preserve"> </w:t>
      </w:r>
      <w:r>
        <w:rPr>
          <w:lang w:val="en-CA"/>
        </w:rPr>
        <w:fldChar w:fldCharType="begin"/>
      </w:r>
      <w:r>
        <w:rPr>
          <w:lang w:val="en-CA"/>
        </w:rPr>
        <w:instrText xml:space="preserve"> SEQ CHAPTER \h \r 1</w:instrText>
      </w:r>
      <w:r>
        <w:rPr>
          <w:lang w:val="en-CA"/>
        </w:rPr>
        <w:fldChar w:fldCharType="end"/>
      </w:r>
      <w:r>
        <w:t xml:space="preserve">Stodden, R. A., &amp; Dowrick, P. W. (2000).  </w:t>
      </w:r>
      <w:proofErr w:type="gramStart"/>
      <w:r>
        <w:t>Postsecondary education and employment of adults with disabilities.</w:t>
      </w:r>
      <w:proofErr w:type="gramEnd"/>
      <w:r>
        <w:t xml:space="preserve">  </w:t>
      </w:r>
      <w:proofErr w:type="gramStart"/>
      <w:r>
        <w:rPr>
          <w:i/>
          <w:iCs/>
        </w:rPr>
        <w:t>American Rehabilitation,</w:t>
      </w:r>
      <w:r>
        <w:t xml:space="preserve"> </w:t>
      </w:r>
      <w:r>
        <w:rPr>
          <w:i/>
          <w:iCs/>
        </w:rPr>
        <w:t>25</w:t>
      </w:r>
      <w:r>
        <w:t>(3), 19-23.</w:t>
      </w:r>
      <w:proofErr w:type="gramEnd"/>
    </w:p>
    <w:p w:rsidR="00CF1EE4" w:rsidRDefault="00CF1EE4" w:rsidP="00CF1EE4">
      <w:pPr>
        <w:ind w:left="720" w:hanging="720"/>
      </w:pPr>
    </w:p>
    <w:p w:rsidR="00CF1EE4" w:rsidRDefault="00CF1EE4" w:rsidP="00CF1EE4">
      <w:pPr>
        <w:ind w:left="720" w:hanging="720"/>
      </w:pPr>
      <w:r>
        <w:t xml:space="preserve">Tindal, G., Heath, B., Hollenbeck, K., Almond, P., &amp; Harniss, M. (1998). Accommodating students with disabilities on large-scale tests: An experimental study. </w:t>
      </w:r>
      <w:proofErr w:type="gramStart"/>
      <w:r>
        <w:rPr>
          <w:i/>
          <w:iCs/>
        </w:rPr>
        <w:t>Exceptional Children,</w:t>
      </w:r>
      <w:r>
        <w:t xml:space="preserve"> </w:t>
      </w:r>
      <w:r>
        <w:rPr>
          <w:bCs/>
          <w:i/>
          <w:iCs/>
        </w:rPr>
        <w:t>64,</w:t>
      </w:r>
      <w:r>
        <w:t xml:space="preserve"> 439-450.</w:t>
      </w:r>
      <w:proofErr w:type="gramEnd"/>
    </w:p>
    <w:p w:rsidR="00CF1EE4" w:rsidRDefault="00CF1EE4" w:rsidP="00CF1EE4">
      <w:pPr>
        <w:ind w:left="720" w:hanging="720"/>
      </w:pPr>
    </w:p>
    <w:p w:rsidR="00CF1EE4" w:rsidRDefault="00CF1EE4" w:rsidP="00CF1EE4">
      <w:pPr>
        <w:ind w:left="720" w:hanging="720"/>
      </w:pPr>
      <w:r>
        <w:t xml:space="preserve">Ward, M. J. (1996). Coming of age in the age of self-determination: A historical and personal perspective. In D. J. Sands &amp; M. L. Weymeyer (Eds.), </w:t>
      </w:r>
      <w:r>
        <w:rPr>
          <w:i/>
          <w:iCs/>
        </w:rPr>
        <w:t>Self-determination across the life span: Independence and choice of people with disabilities</w:t>
      </w:r>
      <w:r>
        <w:t xml:space="preserve"> (pp. 1-16). Balt</w:t>
      </w:r>
      <w:r>
        <w:t>i</w:t>
      </w:r>
      <w:r>
        <w:t>more: Paul H. Brookes.</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proofErr w:type="gramStart"/>
      <w:r>
        <w:t>Wehmeyer, M. L, &amp; Garner, N. W. (2003).</w:t>
      </w:r>
      <w:proofErr w:type="gramEnd"/>
      <w:r>
        <w:t xml:space="preserve">  </w:t>
      </w:r>
      <w:proofErr w:type="gramStart"/>
      <w:r>
        <w:t>The impact of personal characteristics of people with intellectual and developmental disability on self-determination and autonomous functioning.</w:t>
      </w:r>
      <w:proofErr w:type="gramEnd"/>
      <w:r>
        <w:t xml:space="preserve">  </w:t>
      </w:r>
      <w:proofErr w:type="gramStart"/>
      <w:r>
        <w:rPr>
          <w:i/>
          <w:iCs/>
        </w:rPr>
        <w:t>Journal of Applied Research in Intellectual Disabilities, 16</w:t>
      </w:r>
      <w:r>
        <w:t>, 255-265.</w:t>
      </w:r>
      <w:proofErr w:type="gramEnd"/>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 xml:space="preserve">Wehmeyer, M. L., &amp; Palmer, S. B. (2003).  Adult outcomes for students with cognitive disabilities three years after high school: The impact of self-determination.  </w:t>
      </w:r>
      <w:proofErr w:type="gramStart"/>
      <w:r>
        <w:rPr>
          <w:i/>
          <w:iCs/>
        </w:rPr>
        <w:t xml:space="preserve">Education &amp; Training in Developmental Disabilities, 38, </w:t>
      </w:r>
      <w:r>
        <w:t>131-144.</w:t>
      </w:r>
      <w:proofErr w:type="gramEnd"/>
      <w:r>
        <w:tab/>
      </w:r>
    </w:p>
    <w:p w:rsidR="00CF1EE4" w:rsidRDefault="00CF1EE4" w:rsidP="00CF1EE4">
      <w:pPr>
        <w:ind w:left="720" w:hanging="720"/>
      </w:pPr>
    </w:p>
    <w:p w:rsidR="00CF1EE4" w:rsidRDefault="00CF1EE4" w:rsidP="00CF1EE4">
      <w:pPr>
        <w:ind w:left="720" w:hanging="720"/>
      </w:pPr>
      <w:proofErr w:type="gramStart"/>
      <w:r>
        <w:t>Wehmeyer, M., &amp; Schwartz, M.</w:t>
      </w:r>
      <w:proofErr w:type="gramEnd"/>
      <w:r>
        <w:t xml:space="preserve">  (1998)</w:t>
      </w:r>
      <w:proofErr w:type="gramStart"/>
      <w:r>
        <w:t>. The self-determination focus of transition goals for students with mental retardation.</w:t>
      </w:r>
      <w:proofErr w:type="gramEnd"/>
      <w:r>
        <w:t xml:space="preserve"> </w:t>
      </w:r>
      <w:r>
        <w:rPr>
          <w:i/>
          <w:iCs/>
        </w:rPr>
        <w:t>C</w:t>
      </w:r>
      <w:r>
        <w:rPr>
          <w:i/>
          <w:iCs/>
        </w:rPr>
        <w:t>a</w:t>
      </w:r>
      <w:r>
        <w:rPr>
          <w:i/>
          <w:iCs/>
        </w:rPr>
        <w:t>reer Development for Exceptional Individuals,</w:t>
      </w:r>
      <w:r>
        <w:t xml:space="preserve"> </w:t>
      </w:r>
      <w:r>
        <w:rPr>
          <w:bCs/>
          <w:i/>
          <w:iCs/>
        </w:rPr>
        <w:t>21</w:t>
      </w:r>
      <w:r>
        <w:t xml:space="preserve">(1), </w:t>
      </w:r>
      <w:proofErr w:type="gramStart"/>
      <w:r>
        <w:t>75</w:t>
      </w:r>
      <w:proofErr w:type="gramEnd"/>
      <w:r>
        <w:t xml:space="preserve">-86. </w:t>
      </w:r>
    </w:p>
    <w:p w:rsidR="00CF1EE4" w:rsidRDefault="00CF1EE4" w:rsidP="00CF1EE4">
      <w:pPr>
        <w:ind w:left="720" w:hanging="720"/>
      </w:pPr>
    </w:p>
    <w:p w:rsidR="00CF1EE4" w:rsidRDefault="00CF1EE4" w:rsidP="00CF1EE4">
      <w:pPr>
        <w:ind w:left="720" w:hanging="720"/>
      </w:pPr>
      <w:r>
        <w:t xml:space="preserve">Witte, R. H., Philips, L., &amp; Kakela, M. (1998). Job satisfaction of college graduates with learning disabilities. </w:t>
      </w:r>
      <w:proofErr w:type="gramStart"/>
      <w:r>
        <w:rPr>
          <w:i/>
          <w:iCs/>
        </w:rPr>
        <w:t>Jou</w:t>
      </w:r>
      <w:r>
        <w:rPr>
          <w:i/>
          <w:iCs/>
        </w:rPr>
        <w:t>r</w:t>
      </w:r>
      <w:r>
        <w:rPr>
          <w:i/>
          <w:iCs/>
        </w:rPr>
        <w:t>nal of Learning Disabilities,</w:t>
      </w:r>
      <w:r>
        <w:t xml:space="preserve"> </w:t>
      </w:r>
      <w:r>
        <w:rPr>
          <w:bCs/>
          <w:i/>
          <w:iCs/>
        </w:rPr>
        <w:t>31</w:t>
      </w:r>
      <w:r>
        <w:t>, 259-265.</w:t>
      </w:r>
      <w:proofErr w:type="gramEnd"/>
      <w:r>
        <w:t xml:space="preserve"> </w:t>
      </w:r>
    </w:p>
    <w:p w:rsidR="00CF1EE4" w:rsidRDefault="00CF1EE4" w:rsidP="00CF1EE4">
      <w:pPr>
        <w:ind w:left="720" w:hanging="720"/>
        <w:rPr>
          <w:lang w:val="en-CA"/>
        </w:rPr>
      </w:pPr>
    </w:p>
    <w:p w:rsidR="00CF1EE4" w:rsidRDefault="00CF1EE4" w:rsidP="00CF1EE4">
      <w:pPr>
        <w:ind w:left="720" w:hanging="720"/>
      </w:pPr>
      <w:r>
        <w:rPr>
          <w:lang w:val="en-CA"/>
        </w:rPr>
        <w:fldChar w:fldCharType="begin"/>
      </w:r>
      <w:r>
        <w:rPr>
          <w:lang w:val="en-CA"/>
        </w:rPr>
        <w:instrText xml:space="preserve"> SEQ CHAPTER \h \r 1</w:instrText>
      </w:r>
      <w:r>
        <w:rPr>
          <w:lang w:val="en-CA"/>
        </w:rPr>
        <w:fldChar w:fldCharType="end"/>
      </w:r>
      <w:r>
        <w:t>Yuen, J. W. L., &amp; Shaughnessy, B.  (2001). Cultural empowerment: Tools to engage and retain postsecon</w:t>
      </w:r>
      <w:r>
        <w:t>d</w:t>
      </w:r>
      <w:r>
        <w:t xml:space="preserve">ary students with disabilities.  </w:t>
      </w:r>
      <w:proofErr w:type="gramStart"/>
      <w:r>
        <w:rPr>
          <w:i/>
          <w:iCs/>
        </w:rPr>
        <w:t>Journal of Vocational Rehabilitation, 16</w:t>
      </w:r>
      <w:r>
        <w:t>, 199-207.</w:t>
      </w:r>
      <w:proofErr w:type="gramEnd"/>
    </w:p>
    <w:p w:rsidR="00CF1EE4" w:rsidRDefault="00CF1EE4" w:rsidP="00CF1EE4">
      <w:pPr>
        <w:ind w:left="540" w:hanging="540"/>
      </w:pPr>
    </w:p>
    <w:p w:rsidR="00CF1EE4" w:rsidRDefault="00CF1EE4" w:rsidP="00CF1EE4">
      <w:pPr>
        <w:ind w:left="540" w:hanging="540"/>
        <w:jc w:val="center"/>
      </w:pPr>
      <w:r>
        <w:t>Author Note</w:t>
      </w:r>
    </w:p>
    <w:p w:rsidR="00CF1EE4" w:rsidRDefault="00CF1EE4" w:rsidP="00CF1EE4">
      <w:pPr>
        <w:pStyle w:val="BodyTextIndent"/>
        <w:spacing w:line="240" w:lineRule="auto"/>
        <w:ind w:firstLine="0"/>
        <w:rPr>
          <w:rFonts w:ascii="Times New Roman" w:hAnsi="Times New Roman"/>
        </w:rPr>
      </w:pPr>
    </w:p>
    <w:p w:rsidR="00CF1EE4" w:rsidRDefault="00CF1EE4" w:rsidP="00CF1EE4">
      <w:pPr>
        <w:pStyle w:val="BodyTextIndent"/>
        <w:spacing w:line="240" w:lineRule="auto"/>
        <w:ind w:firstLine="0"/>
        <w:rPr>
          <w:rFonts w:ascii="Times New Roman" w:hAnsi="Times New Roman"/>
        </w:rPr>
      </w:pPr>
      <w:r>
        <w:rPr>
          <w:rFonts w:ascii="Times New Roman" w:hAnsi="Times New Roman"/>
        </w:rPr>
        <w:tab/>
        <w:t>Preparation of this article was partially supported by a grant from the National Institute of Disability and Rehabilitation Research, although no endorsement is implied.  Contributions by Paula Scatoloni are also acknowledged.</w:t>
      </w:r>
    </w:p>
    <w:p w:rsidR="00CF1EE4" w:rsidRDefault="00CF1EE4" w:rsidP="00CF1EE4">
      <w:pPr>
        <w:pStyle w:val="BodyTextIndent"/>
        <w:spacing w:line="240" w:lineRule="auto"/>
        <w:ind w:firstLine="0"/>
        <w:jc w:val="center"/>
        <w:rPr>
          <w:rFonts w:ascii="Times New Roman" w:hAnsi="Times New Roman"/>
        </w:rPr>
      </w:pPr>
    </w:p>
    <w:p w:rsidR="00AE3B7B" w:rsidRDefault="00CF1EE4"/>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1800"/>
        </w:tabs>
        <w:ind w:left="1800" w:hanging="360"/>
      </w:pPr>
      <w:rPr>
        <w:rFonts w:hint="default"/>
      </w:rPr>
    </w:lvl>
  </w:abstractNum>
  <w:abstractNum w:abstractNumId="1">
    <w:nsid w:val="00D100FC"/>
    <w:multiLevelType w:val="singleLevel"/>
    <w:tmpl w:val="07628F12"/>
    <w:lvl w:ilvl="0">
      <w:start w:val="1"/>
      <w:numFmt w:val="decimal"/>
      <w:lvlText w:val="%1."/>
      <w:lvlJc w:val="left"/>
      <w:pPr>
        <w:tabs>
          <w:tab w:val="num" w:pos="1080"/>
        </w:tabs>
        <w:ind w:left="1080" w:hanging="360"/>
      </w:pPr>
      <w:rPr>
        <w:rFonts w:hint="default"/>
      </w:rPr>
    </w:lvl>
  </w:abstractNum>
  <w:abstractNum w:abstractNumId="2">
    <w:nsid w:val="11290441"/>
    <w:multiLevelType w:val="hybridMultilevel"/>
    <w:tmpl w:val="55062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C84D72"/>
    <w:multiLevelType w:val="hybridMultilevel"/>
    <w:tmpl w:val="B97C71B4"/>
    <w:lvl w:ilvl="0" w:tplc="4978F05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427ECD"/>
    <w:multiLevelType w:val="hybridMultilevel"/>
    <w:tmpl w:val="022233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610C0"/>
    <w:multiLevelType w:val="hybridMultilevel"/>
    <w:tmpl w:val="6CE04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2EA3B2C"/>
    <w:multiLevelType w:val="hybridMultilevel"/>
    <w:tmpl w:val="7174F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6733E"/>
    <w:multiLevelType w:val="hybridMultilevel"/>
    <w:tmpl w:val="C2D87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5774C5"/>
    <w:multiLevelType w:val="hybridMultilevel"/>
    <w:tmpl w:val="D604E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646433"/>
    <w:multiLevelType w:val="hybridMultilevel"/>
    <w:tmpl w:val="7F6831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A21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FF53251"/>
    <w:multiLevelType w:val="hybridMultilevel"/>
    <w:tmpl w:val="AE744A64"/>
    <w:lvl w:ilvl="0" w:tplc="5EE83EC0">
      <w:start w:val="1"/>
      <w:numFmt w:val="decimal"/>
      <w:lvlText w:val="%1."/>
      <w:lvlJc w:val="left"/>
      <w:pPr>
        <w:tabs>
          <w:tab w:val="num" w:pos="1080"/>
        </w:tabs>
        <w:ind w:left="1080" w:hanging="360"/>
      </w:pPr>
      <w:rPr>
        <w:rFonts w:ascii="Times New Roman" w:eastAsia="Times New Roman" w:hAnsi="Times New Roman" w:cs="Times New Roman"/>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3"/>
  </w:num>
  <w:num w:numId="4">
    <w:abstractNumId w:val="0"/>
  </w:num>
  <w:num w:numId="5">
    <w:abstractNumId w:val="5"/>
  </w:num>
  <w:num w:numId="6">
    <w:abstractNumId w:val="1"/>
  </w:num>
  <w:num w:numId="7">
    <w:abstractNumId w:val="4"/>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F1EE4"/>
    <w:rsid w:val="00CF1EE4"/>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EE4"/>
    <w:rPr>
      <w:rFonts w:ascii="Times New Roman" w:eastAsia="Times New Roman" w:hAnsi="Times New Roman" w:cs="Times New Roman"/>
    </w:rPr>
  </w:style>
  <w:style w:type="paragraph" w:styleId="Heading1">
    <w:name w:val="heading 1"/>
    <w:basedOn w:val="Normal"/>
    <w:next w:val="Normal"/>
    <w:link w:val="Heading1Char"/>
    <w:qFormat/>
    <w:rsid w:val="00CF1EE4"/>
    <w:pPr>
      <w:keepNext/>
      <w:jc w:val="center"/>
      <w:outlineLvl w:val="0"/>
    </w:pPr>
    <w:rPr>
      <w:b/>
      <w:bCs/>
    </w:rPr>
  </w:style>
  <w:style w:type="paragraph" w:styleId="Heading2">
    <w:name w:val="heading 2"/>
    <w:basedOn w:val="Normal"/>
    <w:next w:val="Normal"/>
    <w:link w:val="Heading2Char"/>
    <w:qFormat/>
    <w:rsid w:val="00CF1EE4"/>
    <w:pPr>
      <w:keepNext/>
      <w:spacing w:line="480" w:lineRule="auto"/>
      <w:ind w:firstLine="432"/>
      <w:outlineLvl w:val="1"/>
    </w:pPr>
    <w:rPr>
      <w:b/>
      <w:szCs w:val="20"/>
    </w:rPr>
  </w:style>
  <w:style w:type="paragraph" w:styleId="Heading3">
    <w:name w:val="heading 3"/>
    <w:basedOn w:val="Normal"/>
    <w:next w:val="Normal"/>
    <w:link w:val="Heading3Char"/>
    <w:qFormat/>
    <w:rsid w:val="00CF1EE4"/>
    <w:pPr>
      <w:keepNext/>
      <w:spacing w:line="480" w:lineRule="auto"/>
      <w:ind w:firstLine="432"/>
      <w:outlineLvl w:val="2"/>
    </w:pPr>
    <w:rPr>
      <w:b/>
      <w:sz w:val="28"/>
      <w:szCs w:val="20"/>
    </w:rPr>
  </w:style>
  <w:style w:type="paragraph" w:styleId="Heading4">
    <w:name w:val="heading 4"/>
    <w:basedOn w:val="Normal"/>
    <w:next w:val="Normal"/>
    <w:link w:val="Heading4Char"/>
    <w:qFormat/>
    <w:rsid w:val="00CF1EE4"/>
    <w:pPr>
      <w:keepNext/>
      <w:outlineLvl w:val="3"/>
    </w:pPr>
    <w:rPr>
      <w:i/>
      <w:iCs/>
    </w:rPr>
  </w:style>
  <w:style w:type="paragraph" w:styleId="Heading5">
    <w:name w:val="heading 5"/>
    <w:basedOn w:val="Normal"/>
    <w:next w:val="Normal"/>
    <w:link w:val="Heading5Char"/>
    <w:qFormat/>
    <w:rsid w:val="00CF1EE4"/>
    <w:pPr>
      <w:keepNext/>
      <w:jc w:val="center"/>
      <w:outlineLvl w:val="4"/>
    </w:pPr>
    <w:rPr>
      <w:b/>
      <w:bCs/>
      <w:i/>
      <w:iCs/>
      <w:sz w:val="20"/>
    </w:rPr>
  </w:style>
  <w:style w:type="paragraph" w:styleId="Heading6">
    <w:name w:val="heading 6"/>
    <w:basedOn w:val="Normal"/>
    <w:next w:val="Normal"/>
    <w:link w:val="Heading6Char"/>
    <w:qFormat/>
    <w:rsid w:val="00CF1EE4"/>
    <w:pPr>
      <w:keepNext/>
      <w:spacing w:line="360" w:lineRule="auto"/>
      <w:jc w:val="center"/>
      <w:outlineLvl w:val="5"/>
    </w:pPr>
    <w:rPr>
      <w:rFonts w:ascii="Times" w:hAnsi="Times"/>
      <w:szCs w:val="20"/>
    </w:rPr>
  </w:style>
  <w:style w:type="paragraph" w:styleId="Heading7">
    <w:name w:val="heading 7"/>
    <w:basedOn w:val="Normal"/>
    <w:next w:val="Normal"/>
    <w:link w:val="Heading7Char"/>
    <w:qFormat/>
    <w:rsid w:val="00CF1EE4"/>
    <w:pPr>
      <w:keepNext/>
      <w:ind w:left="720" w:hanging="720"/>
      <w:jc w:val="center"/>
      <w:outlineLvl w:val="6"/>
    </w:pPr>
    <w:rPr>
      <w:rFonts w:ascii="Palatino" w:hAnsi="Palatino"/>
      <w:szCs w:val="20"/>
    </w:rPr>
  </w:style>
  <w:style w:type="paragraph" w:styleId="Heading8">
    <w:name w:val="heading 8"/>
    <w:basedOn w:val="Normal"/>
    <w:next w:val="Normal"/>
    <w:link w:val="Heading8Char"/>
    <w:qFormat/>
    <w:rsid w:val="00CF1EE4"/>
    <w:pPr>
      <w:keepNext/>
      <w:outlineLvl w:val="7"/>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EE4"/>
    <w:rPr>
      <w:rFonts w:ascii="Times New Roman" w:eastAsia="Times New Roman" w:hAnsi="Times New Roman" w:cs="Times New Roman"/>
      <w:b/>
      <w:bCs/>
    </w:rPr>
  </w:style>
  <w:style w:type="character" w:customStyle="1" w:styleId="Heading2Char">
    <w:name w:val="Heading 2 Char"/>
    <w:basedOn w:val="DefaultParagraphFont"/>
    <w:link w:val="Heading2"/>
    <w:rsid w:val="00CF1EE4"/>
    <w:rPr>
      <w:rFonts w:ascii="Times New Roman" w:eastAsia="Times New Roman" w:hAnsi="Times New Roman" w:cs="Times New Roman"/>
      <w:b/>
      <w:szCs w:val="20"/>
    </w:rPr>
  </w:style>
  <w:style w:type="character" w:customStyle="1" w:styleId="Heading3Char">
    <w:name w:val="Heading 3 Char"/>
    <w:basedOn w:val="DefaultParagraphFont"/>
    <w:link w:val="Heading3"/>
    <w:rsid w:val="00CF1EE4"/>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CF1EE4"/>
    <w:rPr>
      <w:rFonts w:ascii="Times New Roman" w:eastAsia="Times New Roman" w:hAnsi="Times New Roman" w:cs="Times New Roman"/>
      <w:i/>
      <w:iCs/>
    </w:rPr>
  </w:style>
  <w:style w:type="character" w:customStyle="1" w:styleId="Heading5Char">
    <w:name w:val="Heading 5 Char"/>
    <w:basedOn w:val="DefaultParagraphFont"/>
    <w:link w:val="Heading5"/>
    <w:rsid w:val="00CF1EE4"/>
    <w:rPr>
      <w:rFonts w:ascii="Times New Roman" w:eastAsia="Times New Roman" w:hAnsi="Times New Roman" w:cs="Times New Roman"/>
      <w:b/>
      <w:bCs/>
      <w:i/>
      <w:iCs/>
      <w:sz w:val="20"/>
    </w:rPr>
  </w:style>
  <w:style w:type="character" w:customStyle="1" w:styleId="Heading6Char">
    <w:name w:val="Heading 6 Char"/>
    <w:basedOn w:val="DefaultParagraphFont"/>
    <w:link w:val="Heading6"/>
    <w:rsid w:val="00CF1EE4"/>
    <w:rPr>
      <w:rFonts w:ascii="Times" w:eastAsia="Times New Roman" w:hAnsi="Times" w:cs="Times New Roman"/>
      <w:szCs w:val="20"/>
    </w:rPr>
  </w:style>
  <w:style w:type="character" w:customStyle="1" w:styleId="Heading7Char">
    <w:name w:val="Heading 7 Char"/>
    <w:basedOn w:val="DefaultParagraphFont"/>
    <w:link w:val="Heading7"/>
    <w:rsid w:val="00CF1EE4"/>
    <w:rPr>
      <w:rFonts w:ascii="Palatino" w:eastAsia="Times New Roman" w:hAnsi="Palatino" w:cs="Times New Roman"/>
      <w:szCs w:val="20"/>
    </w:rPr>
  </w:style>
  <w:style w:type="character" w:customStyle="1" w:styleId="Heading8Char">
    <w:name w:val="Heading 8 Char"/>
    <w:basedOn w:val="DefaultParagraphFont"/>
    <w:link w:val="Heading8"/>
    <w:rsid w:val="00CF1EE4"/>
    <w:rPr>
      <w:rFonts w:ascii="Times New Roman" w:eastAsia="Times New Roman" w:hAnsi="Times New Roman" w:cs="Times New Roman"/>
      <w:b/>
      <w:bCs/>
    </w:rPr>
  </w:style>
  <w:style w:type="paragraph" w:styleId="Title">
    <w:name w:val="Title"/>
    <w:basedOn w:val="Normal"/>
    <w:link w:val="TitleChar"/>
    <w:qFormat/>
    <w:rsid w:val="00CF1EE4"/>
    <w:pPr>
      <w:jc w:val="center"/>
    </w:pPr>
    <w:rPr>
      <w:b/>
      <w:bCs/>
    </w:rPr>
  </w:style>
  <w:style w:type="character" w:customStyle="1" w:styleId="TitleChar">
    <w:name w:val="Title Char"/>
    <w:basedOn w:val="DefaultParagraphFont"/>
    <w:link w:val="Title"/>
    <w:rsid w:val="00CF1EE4"/>
    <w:rPr>
      <w:rFonts w:ascii="Times New Roman" w:eastAsia="Times New Roman" w:hAnsi="Times New Roman" w:cs="Times New Roman"/>
      <w:b/>
      <w:bCs/>
    </w:rPr>
  </w:style>
  <w:style w:type="paragraph" w:customStyle="1" w:styleId="Conway1">
    <w:name w:val="Conway1"/>
    <w:basedOn w:val="Normal"/>
    <w:next w:val="Normal"/>
    <w:rsid w:val="00CF1EE4"/>
    <w:pPr>
      <w:jc w:val="center"/>
    </w:pPr>
    <w:rPr>
      <w:rFonts w:eastAsia="Times"/>
      <w:szCs w:val="20"/>
    </w:rPr>
  </w:style>
  <w:style w:type="character" w:styleId="Hyperlink">
    <w:name w:val="Hyperlink"/>
    <w:basedOn w:val="DefaultParagraphFont"/>
    <w:semiHidden/>
    <w:rsid w:val="00CF1EE4"/>
    <w:rPr>
      <w:color w:val="0000FF"/>
      <w:u w:val="single"/>
    </w:rPr>
  </w:style>
  <w:style w:type="paragraph" w:styleId="BodyText2">
    <w:name w:val="Body Text 2"/>
    <w:basedOn w:val="Normal"/>
    <w:link w:val="BodyText2Char"/>
    <w:semiHidden/>
    <w:rsid w:val="00CF1EE4"/>
    <w:pPr>
      <w:spacing w:line="480" w:lineRule="auto"/>
      <w:ind w:firstLine="432"/>
    </w:pPr>
    <w:rPr>
      <w:sz w:val="20"/>
      <w:szCs w:val="20"/>
    </w:rPr>
  </w:style>
  <w:style w:type="character" w:customStyle="1" w:styleId="BodyText2Char">
    <w:name w:val="Body Text 2 Char"/>
    <w:basedOn w:val="DefaultParagraphFont"/>
    <w:link w:val="BodyText2"/>
    <w:semiHidden/>
    <w:rsid w:val="00CF1EE4"/>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CF1EE4"/>
    <w:pPr>
      <w:spacing w:line="480" w:lineRule="auto"/>
      <w:ind w:firstLine="432"/>
    </w:pPr>
    <w:rPr>
      <w:szCs w:val="20"/>
    </w:rPr>
  </w:style>
  <w:style w:type="character" w:customStyle="1" w:styleId="BodyTextIndent2Char">
    <w:name w:val="Body Text Indent 2 Char"/>
    <w:basedOn w:val="DefaultParagraphFont"/>
    <w:link w:val="BodyTextIndent2"/>
    <w:semiHidden/>
    <w:rsid w:val="00CF1EE4"/>
    <w:rPr>
      <w:rFonts w:ascii="Times New Roman" w:eastAsia="Times New Roman" w:hAnsi="Times New Roman" w:cs="Times New Roman"/>
      <w:szCs w:val="20"/>
    </w:rPr>
  </w:style>
  <w:style w:type="paragraph" w:styleId="BodyTextIndent">
    <w:name w:val="Body Text Indent"/>
    <w:basedOn w:val="Normal"/>
    <w:link w:val="BodyTextIndentChar"/>
    <w:semiHidden/>
    <w:rsid w:val="00CF1EE4"/>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CF1EE4"/>
    <w:rPr>
      <w:rFonts w:ascii="Palatino" w:eastAsia="Times New Roman" w:hAnsi="Palatino" w:cs="Times New Roman"/>
      <w:szCs w:val="20"/>
    </w:rPr>
  </w:style>
  <w:style w:type="paragraph" w:customStyle="1" w:styleId="DO-ITBodyStyle">
    <w:name w:val="DO-IT Body Style"/>
    <w:rsid w:val="00CF1EE4"/>
    <w:rPr>
      <w:rFonts w:ascii="Palatino" w:eastAsia="Times New Roman" w:hAnsi="Palatino" w:cs="Times New Roman"/>
      <w:szCs w:val="20"/>
    </w:rPr>
  </w:style>
  <w:style w:type="paragraph" w:customStyle="1" w:styleId="References">
    <w:name w:val="References"/>
    <w:basedOn w:val="Normal"/>
    <w:rsid w:val="00CF1EE4"/>
    <w:pPr>
      <w:spacing w:line="480" w:lineRule="auto"/>
      <w:ind w:left="720" w:hanging="720"/>
    </w:pPr>
    <w:rPr>
      <w:rFonts w:ascii="Palatino" w:eastAsia="Times" w:hAnsi="Palatino"/>
      <w:szCs w:val="20"/>
    </w:rPr>
  </w:style>
  <w:style w:type="character" w:styleId="CommentReference">
    <w:name w:val="annotation reference"/>
    <w:basedOn w:val="DefaultParagraphFont"/>
    <w:semiHidden/>
    <w:rsid w:val="00CF1EE4"/>
    <w:rPr>
      <w:sz w:val="16"/>
    </w:rPr>
  </w:style>
  <w:style w:type="paragraph" w:styleId="BodyText">
    <w:name w:val="Body Text"/>
    <w:basedOn w:val="Normal"/>
    <w:link w:val="BodyTextChar"/>
    <w:semiHidden/>
    <w:rsid w:val="00CF1EE4"/>
    <w:pPr>
      <w:jc w:val="center"/>
    </w:pPr>
    <w:rPr>
      <w:b/>
      <w:bCs/>
    </w:rPr>
  </w:style>
  <w:style w:type="character" w:customStyle="1" w:styleId="BodyTextChar">
    <w:name w:val="Body Text Char"/>
    <w:basedOn w:val="DefaultParagraphFont"/>
    <w:link w:val="BodyText"/>
    <w:semiHidden/>
    <w:rsid w:val="00CF1EE4"/>
    <w:rPr>
      <w:rFonts w:ascii="Times New Roman" w:eastAsia="Times New Roman" w:hAnsi="Times New Roman" w:cs="Times New Roman"/>
      <w:b/>
      <w:bCs/>
    </w:rPr>
  </w:style>
  <w:style w:type="paragraph" w:styleId="BlockText">
    <w:name w:val="Block Text"/>
    <w:basedOn w:val="Normal"/>
    <w:semiHidden/>
    <w:rsid w:val="00CF1EE4"/>
    <w:pPr>
      <w:ind w:left="720" w:right="720"/>
    </w:pPr>
  </w:style>
  <w:style w:type="paragraph" w:styleId="CommentText">
    <w:name w:val="annotation text"/>
    <w:basedOn w:val="Normal"/>
    <w:link w:val="CommentTextChar"/>
    <w:semiHidden/>
    <w:rsid w:val="00CF1EE4"/>
    <w:rPr>
      <w:rFonts w:ascii="MS Sans Serif" w:hAnsi="MS Sans Serif"/>
      <w:sz w:val="20"/>
      <w:szCs w:val="20"/>
    </w:rPr>
  </w:style>
  <w:style w:type="character" w:customStyle="1" w:styleId="CommentTextChar">
    <w:name w:val="Comment Text Char"/>
    <w:basedOn w:val="DefaultParagraphFont"/>
    <w:link w:val="CommentText"/>
    <w:semiHidden/>
    <w:rsid w:val="00CF1EE4"/>
    <w:rPr>
      <w:rFonts w:ascii="MS Sans Serif" w:eastAsia="Times New Roman" w:hAnsi="MS Sans Serif" w:cs="Times New Roman"/>
      <w:sz w:val="20"/>
      <w:szCs w:val="20"/>
    </w:rPr>
  </w:style>
  <w:style w:type="paragraph" w:styleId="Footer">
    <w:name w:val="footer"/>
    <w:basedOn w:val="Normal"/>
    <w:link w:val="FooterChar"/>
    <w:semiHidden/>
    <w:rsid w:val="00CF1EE4"/>
    <w:pPr>
      <w:tabs>
        <w:tab w:val="center" w:pos="4320"/>
        <w:tab w:val="right" w:pos="8640"/>
      </w:tabs>
    </w:pPr>
  </w:style>
  <w:style w:type="character" w:customStyle="1" w:styleId="FooterChar">
    <w:name w:val="Footer Char"/>
    <w:basedOn w:val="DefaultParagraphFont"/>
    <w:link w:val="Footer"/>
    <w:semiHidden/>
    <w:rsid w:val="00CF1EE4"/>
    <w:rPr>
      <w:rFonts w:ascii="Times New Roman" w:eastAsia="Times New Roman" w:hAnsi="Times New Roman" w:cs="Times New Roman"/>
    </w:rPr>
  </w:style>
  <w:style w:type="paragraph" w:styleId="BodyText3">
    <w:name w:val="Body Text 3"/>
    <w:basedOn w:val="Normal"/>
    <w:link w:val="BodyText3Char"/>
    <w:semiHidden/>
    <w:rsid w:val="00CF1EE4"/>
    <w:pPr>
      <w:spacing w:after="120"/>
    </w:pPr>
    <w:rPr>
      <w:sz w:val="16"/>
      <w:szCs w:val="16"/>
    </w:rPr>
  </w:style>
  <w:style w:type="character" w:customStyle="1" w:styleId="BodyText3Char">
    <w:name w:val="Body Text 3 Char"/>
    <w:basedOn w:val="DefaultParagraphFont"/>
    <w:link w:val="BodyText3"/>
    <w:semiHidden/>
    <w:rsid w:val="00CF1EE4"/>
    <w:rPr>
      <w:rFonts w:ascii="Times New Roman" w:eastAsia="Times New Roman" w:hAnsi="Times New Roman" w:cs="Times New Roman"/>
      <w:sz w:val="16"/>
      <w:szCs w:val="16"/>
    </w:rPr>
  </w:style>
  <w:style w:type="character" w:styleId="FollowedHyperlink">
    <w:name w:val="FollowedHyperlink"/>
    <w:basedOn w:val="DefaultParagraphFont"/>
    <w:semiHidden/>
    <w:rsid w:val="00CF1EE4"/>
    <w:rPr>
      <w:color w:val="800080"/>
      <w:u w:val="single"/>
    </w:rPr>
  </w:style>
  <w:style w:type="paragraph" w:customStyle="1" w:styleId="BodyTextI1">
    <w:name w:val="Body Text I1"/>
    <w:basedOn w:val="Normal"/>
    <w:rsid w:val="00CF1EE4"/>
    <w:pPr>
      <w:widowControl w:val="0"/>
      <w:autoSpaceDE w:val="0"/>
      <w:autoSpaceDN w:val="0"/>
      <w:adjustRightInd w:val="0"/>
      <w:spacing w:line="480" w:lineRule="auto"/>
      <w:ind w:firstLine="720"/>
    </w:pPr>
    <w:rPr>
      <w:sz w:val="20"/>
    </w:rPr>
  </w:style>
  <w:style w:type="character" w:customStyle="1" w:styleId="Hypertext">
    <w:name w:val="Hypertext"/>
    <w:rsid w:val="00CF1EE4"/>
    <w:rPr>
      <w:color w:val="0000FF"/>
      <w:u w:val="single"/>
    </w:rPr>
  </w:style>
  <w:style w:type="paragraph" w:styleId="ListBullet">
    <w:name w:val="List Bullet"/>
    <w:basedOn w:val="Normal"/>
    <w:autoRedefine/>
    <w:semiHidden/>
    <w:rsid w:val="00CF1EE4"/>
    <w:pPr>
      <w:tabs>
        <w:tab w:val="num" w:pos="360"/>
      </w:tabs>
      <w:ind w:left="360" w:hanging="360"/>
    </w:pPr>
    <w:rPr>
      <w:rFonts w:ascii="Times" w:eastAsia="Times" w:hAnsi="Times"/>
      <w:szCs w:val="20"/>
    </w:rPr>
  </w:style>
  <w:style w:type="paragraph" w:styleId="BodyTextIndent3">
    <w:name w:val="Body Text Indent 3"/>
    <w:basedOn w:val="Normal"/>
    <w:link w:val="BodyTextIndent3Char"/>
    <w:semiHidden/>
    <w:rsid w:val="00CF1EE4"/>
    <w:pPr>
      <w:ind w:left="720"/>
      <w:jc w:val="both"/>
    </w:pPr>
  </w:style>
  <w:style w:type="character" w:customStyle="1" w:styleId="BodyTextIndent3Char">
    <w:name w:val="Body Text Indent 3 Char"/>
    <w:basedOn w:val="DefaultParagraphFont"/>
    <w:link w:val="BodyTextIndent3"/>
    <w:semiHidden/>
    <w:rsid w:val="00CF1EE4"/>
    <w:rPr>
      <w:rFonts w:ascii="Times New Roman" w:eastAsia="Times New Roman" w:hAnsi="Times New Roman" w:cs="Times New Roman"/>
    </w:rPr>
  </w:style>
  <w:style w:type="paragraph" w:styleId="Header">
    <w:name w:val="header"/>
    <w:basedOn w:val="Normal"/>
    <w:link w:val="HeaderChar"/>
    <w:semiHidden/>
    <w:rsid w:val="00CF1EE4"/>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CF1EE4"/>
    <w:rPr>
      <w:rFonts w:ascii="Times" w:eastAsia="Times" w:hAnsi="Times" w:cs="Times New Roman"/>
      <w:szCs w:val="20"/>
    </w:rPr>
  </w:style>
  <w:style w:type="character" w:styleId="Emphasis">
    <w:name w:val="Emphasis"/>
    <w:basedOn w:val="DefaultParagraphFont"/>
    <w:qFormat/>
    <w:rsid w:val="00CF1EE4"/>
    <w:rPr>
      <w:i/>
      <w:iCs/>
    </w:rPr>
  </w:style>
  <w:style w:type="paragraph" w:customStyle="1" w:styleId="BodyTextnoIndent">
    <w:name w:val="Body Text noIndent"/>
    <w:basedOn w:val="BodyText"/>
    <w:next w:val="BodyText"/>
    <w:rsid w:val="00CF1EE4"/>
    <w:pPr>
      <w:jc w:val="both"/>
    </w:pPr>
    <w:rPr>
      <w:b w:val="0"/>
      <w:bCs w:val="0"/>
      <w:sz w:val="20"/>
    </w:rPr>
  </w:style>
  <w:style w:type="paragraph" w:customStyle="1" w:styleId="apaheadinglevel1">
    <w:name w:val="apaheadinglevel1"/>
    <w:basedOn w:val="Normal"/>
    <w:rsid w:val="00CF1EE4"/>
    <w:pPr>
      <w:autoSpaceDE w:val="0"/>
      <w:autoSpaceDN w:val="0"/>
      <w:spacing w:line="360" w:lineRule="auto"/>
      <w:jc w:val="center"/>
    </w:pPr>
    <w:rPr>
      <w:rFonts w:ascii="Times" w:hAnsi="Times"/>
      <w:szCs w:val="20"/>
    </w:rPr>
  </w:style>
  <w:style w:type="paragraph" w:customStyle="1" w:styleId="apaheadinglevel2">
    <w:name w:val="apaheadinglevel2"/>
    <w:basedOn w:val="Normal"/>
    <w:rsid w:val="00CF1EE4"/>
    <w:pPr>
      <w:autoSpaceDE w:val="0"/>
      <w:autoSpaceDN w:val="0"/>
      <w:spacing w:line="360" w:lineRule="auto"/>
      <w:jc w:val="center"/>
    </w:pPr>
    <w:rPr>
      <w:rFonts w:ascii="Times" w:hAnsi="Times"/>
      <w:i/>
      <w:szCs w:val="20"/>
    </w:rPr>
  </w:style>
  <w:style w:type="paragraph" w:customStyle="1" w:styleId="apaheadinglevel3">
    <w:name w:val="apaheadinglevel3"/>
    <w:basedOn w:val="Normal"/>
    <w:rsid w:val="00CF1EE4"/>
    <w:pPr>
      <w:autoSpaceDE w:val="0"/>
      <w:autoSpaceDN w:val="0"/>
      <w:spacing w:line="360" w:lineRule="auto"/>
    </w:pPr>
    <w:rPr>
      <w:rFonts w:ascii="Times" w:hAnsi="Times"/>
      <w:i/>
      <w:szCs w:val="20"/>
    </w:rPr>
  </w:style>
  <w:style w:type="paragraph" w:styleId="Caption">
    <w:name w:val="caption"/>
    <w:basedOn w:val="Normal"/>
    <w:next w:val="Normal"/>
    <w:qFormat/>
    <w:rsid w:val="00CF1EE4"/>
    <w:pPr>
      <w:spacing w:before="120" w:after="120"/>
    </w:pPr>
    <w:rPr>
      <w:rFonts w:ascii="Times" w:eastAsia="Times" w:hAnsi="Times"/>
      <w:b/>
      <w:szCs w:val="20"/>
    </w:rPr>
  </w:style>
  <w:style w:type="character" w:styleId="PageNumber">
    <w:name w:val="page number"/>
    <w:basedOn w:val="DefaultParagraphFont"/>
    <w:semiHidden/>
    <w:rsid w:val="00CF1EE4"/>
  </w:style>
  <w:style w:type="paragraph" w:styleId="EndnoteText">
    <w:name w:val="endnote text"/>
    <w:basedOn w:val="Normal"/>
    <w:link w:val="EndnoteTextChar"/>
    <w:semiHidden/>
    <w:rsid w:val="00CF1EE4"/>
    <w:rPr>
      <w:sz w:val="20"/>
      <w:szCs w:val="20"/>
    </w:rPr>
  </w:style>
  <w:style w:type="character" w:customStyle="1" w:styleId="EndnoteTextChar">
    <w:name w:val="Endnote Text Char"/>
    <w:basedOn w:val="DefaultParagraphFont"/>
    <w:link w:val="EndnoteText"/>
    <w:semiHidden/>
    <w:rsid w:val="00CF1EE4"/>
    <w:rPr>
      <w:rFonts w:ascii="Times New Roman" w:eastAsia="Times New Roman" w:hAnsi="Times New Roman" w:cs="Times New Roman"/>
      <w:sz w:val="20"/>
      <w:szCs w:val="20"/>
    </w:rPr>
  </w:style>
  <w:style w:type="character" w:styleId="EndnoteReference">
    <w:name w:val="endnote reference"/>
    <w:basedOn w:val="DefaultParagraphFont"/>
    <w:semiHidden/>
    <w:rsid w:val="00CF1EE4"/>
    <w:rPr>
      <w:vertAlign w:val="superscript"/>
    </w:rPr>
  </w:style>
  <w:style w:type="paragraph" w:styleId="FootnoteText">
    <w:name w:val="footnote text"/>
    <w:basedOn w:val="Normal"/>
    <w:link w:val="FootnoteTextChar"/>
    <w:semiHidden/>
    <w:rsid w:val="00CF1EE4"/>
    <w:rPr>
      <w:sz w:val="20"/>
      <w:szCs w:val="20"/>
    </w:rPr>
  </w:style>
  <w:style w:type="character" w:customStyle="1" w:styleId="FootnoteTextChar">
    <w:name w:val="Footnote Text Char"/>
    <w:basedOn w:val="DefaultParagraphFont"/>
    <w:link w:val="FootnoteText"/>
    <w:semiHidden/>
    <w:rsid w:val="00CF1EE4"/>
    <w:rPr>
      <w:rFonts w:ascii="Times New Roman" w:eastAsia="Times New Roman" w:hAnsi="Times New Roman" w:cs="Times New Roman"/>
      <w:sz w:val="20"/>
      <w:szCs w:val="20"/>
    </w:rPr>
  </w:style>
  <w:style w:type="character" w:styleId="FootnoteReference">
    <w:name w:val="footnote reference"/>
    <w:basedOn w:val="DefaultParagraphFont"/>
    <w:semiHidden/>
    <w:rsid w:val="00CF1EE4"/>
    <w:rPr>
      <w:vertAlign w:val="superscript"/>
    </w:rPr>
  </w:style>
  <w:style w:type="paragraph" w:customStyle="1" w:styleId="ConwayB">
    <w:name w:val="ConwayB"/>
    <w:basedOn w:val="Normal"/>
    <w:next w:val="Normal"/>
    <w:rsid w:val="00CF1EE4"/>
    <w:pPr>
      <w:jc w:val="center"/>
    </w:pPr>
    <w:rPr>
      <w:rFonts w:eastAsia="Times"/>
      <w:b/>
      <w:caps/>
      <w:szCs w:val="20"/>
    </w:rPr>
  </w:style>
  <w:style w:type="paragraph" w:styleId="BalloonText">
    <w:name w:val="Balloon Text"/>
    <w:basedOn w:val="Normal"/>
    <w:link w:val="BalloonTextChar"/>
    <w:uiPriority w:val="99"/>
    <w:semiHidden/>
    <w:unhideWhenUsed/>
    <w:rsid w:val="00CF1EE4"/>
    <w:rPr>
      <w:rFonts w:ascii="Tahoma" w:hAnsi="Tahoma" w:cs="Tahoma"/>
      <w:sz w:val="16"/>
      <w:szCs w:val="16"/>
    </w:rPr>
  </w:style>
  <w:style w:type="character" w:customStyle="1" w:styleId="BalloonTextChar">
    <w:name w:val="Balloon Text Char"/>
    <w:basedOn w:val="DefaultParagraphFont"/>
    <w:link w:val="BalloonText"/>
    <w:uiPriority w:val="99"/>
    <w:semiHidden/>
    <w:rsid w:val="00CF1E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owrick@hawaii.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5375</Words>
  <Characters>30643</Characters>
  <Application>Microsoft Macintosh Word</Application>
  <DocSecurity>0</DocSecurity>
  <Lines>255</Lines>
  <Paragraphs>61</Paragraphs>
  <ScaleCrop>false</ScaleCrop>
  <Company>University of Missouri</Company>
  <LinksUpToDate>false</LinksUpToDate>
  <CharactersWithSpaces>37631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2014-12-25T03:41:00Z</dcterms:created>
  <dcterms:modified xsi:type="dcterms:W3CDTF">2014-12-25T03:43:00Z</dcterms:modified>
</cp:coreProperties>
</file>