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widowControl w:val="1"/>
        <w:pBdr>
          <w:top w:color="auto" w:space="0" w:sz="0" w:val="none"/>
          <w:left w:color="auto" w:space="0" w:sz="0" w:val="none"/>
          <w:bottom w:color="auto" w:space="10" w:sz="0" w:val="none"/>
          <w:right w:color="auto" w:space="0" w:sz="0" w:val="none"/>
        </w:pBdr>
        <w:spacing w:line="331.2" w:lineRule="auto"/>
        <w:ind w:firstLine="0"/>
        <w:contextualSpacing w:val="0"/>
        <w:rPr/>
      </w:pPr>
      <w:bookmarkStart w:colFirst="0" w:colLast="0" w:name="_mqla3v7wgtta" w:id="0"/>
      <w:bookmarkEnd w:id="0"/>
      <w:r w:rsidDel="00000000" w:rsidR="00000000" w:rsidRPr="00000000">
        <w:rPr>
          <w:rtl w:val="0"/>
        </w:rPr>
        <w:t xml:space="preserve">Dissertation Abstracts</w:t>
      </w:r>
    </w:p>
    <w:p w:rsidR="00000000" w:rsidDel="00000000" w:rsidP="00000000" w:rsidRDefault="00000000" w:rsidRPr="00000000" w14:paraId="00000001">
      <w:pPr>
        <w:ind w:left="0" w:firstLine="0"/>
        <w:contextualSpacing w:val="0"/>
        <w:jc w:val="center"/>
        <w:rPr/>
      </w:pPr>
      <w:r w:rsidDel="00000000" w:rsidR="00000000" w:rsidRPr="00000000">
        <w:rPr>
          <w:rtl w:val="0"/>
        </w:rPr>
        <w:t xml:space="preserve">Compiled by Jonathon Erlen, University of Pittsburgh</w:t>
      </w:r>
    </w:p>
    <w:p w:rsidR="00000000" w:rsidDel="00000000" w:rsidP="00000000" w:rsidRDefault="00000000" w:rsidRPr="00000000" w14:paraId="00000002">
      <w:pPr>
        <w:ind w:left="0" w:firstLine="0"/>
        <w:contextualSpacing w:val="0"/>
        <w:jc w:val="center"/>
        <w:rPr/>
      </w:pPr>
      <w:r w:rsidDel="00000000" w:rsidR="00000000" w:rsidRPr="00000000">
        <w:rPr>
          <w:rtl w:val="0"/>
        </w:rPr>
        <w:t xml:space="preserve">Edited by Megan Conway</w:t>
      </w:r>
      <w:r w:rsidDel="00000000" w:rsidR="00000000" w:rsidRPr="00000000">
        <w:rPr>
          <w:rtl w:val="0"/>
        </w:rPr>
      </w:r>
    </w:p>
    <w:p w:rsidR="00000000" w:rsidDel="00000000" w:rsidP="00000000" w:rsidRDefault="00000000" w:rsidRPr="00000000" w14:paraId="00000003">
      <w:pPr>
        <w:widowControl w:val="1"/>
        <w:spacing w:line="276" w:lineRule="auto"/>
        <w:ind w:firstLine="0"/>
        <w:contextualSpacing w:val="0"/>
        <w:rPr>
          <w:highlight w:val="white"/>
        </w:rPr>
      </w:pPr>
      <w:bookmarkStart w:colFirst="0" w:colLast="0" w:name="_sk6eixg2x3zi" w:id="1"/>
      <w:bookmarkEnd w:id="1"/>
      <w:r w:rsidDel="00000000" w:rsidR="00000000" w:rsidRPr="00000000">
        <w:rPr>
          <w:i w:val="1"/>
          <w:highlight w:val="white"/>
          <w:rtl w:val="0"/>
        </w:rPr>
        <w:t xml:space="preserve">Able-bodied womanhood: Disability and corporeally exclusionary narratives in black and white women's rights discourses, 1832-1932. </w:t>
      </w:r>
      <w:r w:rsidDel="00000000" w:rsidR="00000000" w:rsidRPr="00000000">
        <w:rPr>
          <w:highlight w:val="white"/>
          <w:rtl w:val="0"/>
        </w:rPr>
        <w:t xml:space="preserve">Temple</w:t>
      </w:r>
      <w:r w:rsidDel="00000000" w:rsidR="00000000" w:rsidRPr="00000000">
        <w:rPr>
          <w:highlight w:val="white"/>
          <w:rtl w:val="0"/>
        </w:rPr>
        <w:t xml:space="preserve">, H. A. ProQuest Dissertations </w:t>
      </w:r>
      <w:r w:rsidDel="00000000" w:rsidR="00000000" w:rsidRPr="00000000">
        <w:rPr>
          <w:highlight w:val="white"/>
          <w:rtl w:val="0"/>
        </w:rPr>
        <w:t xml:space="preserve">&amp; Theses</w:t>
      </w:r>
      <w:r w:rsidDel="00000000" w:rsidR="00000000" w:rsidRPr="00000000">
        <w:rPr>
          <w:highlight w:val="white"/>
          <w:rtl w:val="0"/>
        </w:rPr>
        <w:t xml:space="preserve">, 2016. [Ph.D. Dissertation] United States: Maryland: </w:t>
      </w:r>
      <w:r w:rsidDel="00000000" w:rsidR="00000000" w:rsidRPr="00000000">
        <w:rPr>
          <w:highlight w:val="white"/>
          <w:rtl w:val="0"/>
        </w:rPr>
        <w:t xml:space="preserve">University of Maryland, College Park</w:t>
      </w:r>
      <w:r w:rsidDel="00000000" w:rsidR="00000000" w:rsidRPr="00000000">
        <w:rPr>
          <w:highlight w:val="white"/>
          <w:rtl w:val="0"/>
        </w:rPr>
        <w:t xml:space="preserve">, 2016. Publication Number: </w:t>
      </w:r>
      <w:r w:rsidDel="00000000" w:rsidR="00000000" w:rsidRPr="00000000">
        <w:rPr>
          <w:highlight w:val="white"/>
          <w:rtl w:val="0"/>
        </w:rPr>
        <w:t xml:space="preserve">10159138</w:t>
      </w:r>
      <w:r w:rsidDel="00000000" w:rsidR="00000000" w:rsidRPr="00000000">
        <w:rPr>
          <w:highlight w:val="white"/>
          <w:rtl w:val="0"/>
        </w:rPr>
        <w:t xml:space="preserve">.</w:t>
      </w:r>
    </w:p>
    <w:p w:rsidR="00000000" w:rsidDel="00000000" w:rsidP="00000000" w:rsidRDefault="00000000" w:rsidRPr="00000000" w14:paraId="00000004">
      <w:pPr>
        <w:widowControl w:val="1"/>
        <w:spacing w:line="276" w:lineRule="auto"/>
        <w:ind w:firstLine="0"/>
        <w:contextualSpacing w:val="0"/>
        <w:rPr>
          <w:i w:val="1"/>
          <w:highlight w:val="white"/>
        </w:rPr>
      </w:pPr>
      <w:bookmarkStart w:colFirst="0" w:colLast="0" w:name="_sk6eixg2x3zi" w:id="1"/>
      <w:bookmarkEnd w:id="1"/>
      <w:r w:rsidDel="00000000" w:rsidR="00000000" w:rsidRPr="00000000">
        <w:rPr>
          <w:i w:val="1"/>
          <w:highlight w:val="white"/>
          <w:rtl w:val="0"/>
        </w:rPr>
        <w:t xml:space="preserve">Asylum literature and patient narrators: Authors, authorities, and advocates. </w:t>
      </w:r>
      <w:r w:rsidDel="00000000" w:rsidR="00000000" w:rsidRPr="00000000">
        <w:rPr>
          <w:highlight w:val="white"/>
          <w:rtl w:val="0"/>
        </w:rPr>
        <w:t xml:space="preserve">Santoro-Murphy, S.V. ProQuest Dissertations &amp; Theses, 2016. [Ph.D. Dissertation] United States: Indiana: Indiana University of Pennsylvania, 2016. Publication Number: 10144728.</w:t>
      </w:r>
      <w:r w:rsidDel="00000000" w:rsidR="00000000" w:rsidRPr="00000000">
        <w:rPr>
          <w:rtl w:val="0"/>
        </w:rPr>
      </w:r>
    </w:p>
    <w:p w:rsidR="00000000" w:rsidDel="00000000" w:rsidP="00000000" w:rsidRDefault="00000000" w:rsidRPr="00000000" w14:paraId="00000005">
      <w:pPr>
        <w:widowControl w:val="1"/>
        <w:spacing w:line="276" w:lineRule="auto"/>
        <w:ind w:firstLine="0"/>
        <w:contextualSpacing w:val="0"/>
        <w:rPr>
          <w:highlight w:val="white"/>
        </w:rPr>
      </w:pPr>
      <w:bookmarkStart w:colFirst="0" w:colLast="0" w:name="_zhd92a2zbo7r" w:id="2"/>
      <w:bookmarkEnd w:id="2"/>
      <w:r w:rsidDel="00000000" w:rsidR="00000000" w:rsidRPr="00000000">
        <w:rPr>
          <w:i w:val="1"/>
          <w:highlight w:val="white"/>
          <w:rtl w:val="0"/>
        </w:rPr>
        <w:t xml:space="preserve">Crip modernisms: The roots of disability consciousness in American literature and culture</w:t>
      </w:r>
      <w:r w:rsidDel="00000000" w:rsidR="00000000" w:rsidRPr="00000000">
        <w:rPr>
          <w:i w:val="1"/>
          <w:highlight w:val="white"/>
          <w:rtl w:val="0"/>
        </w:rPr>
        <w:t xml:space="preserve">. </w:t>
      </w:r>
      <w:r w:rsidDel="00000000" w:rsidR="00000000" w:rsidRPr="00000000">
        <w:rPr>
          <w:highlight w:val="white"/>
          <w:rtl w:val="0"/>
        </w:rPr>
        <w:t xml:space="preserve">Waggoner</w:t>
      </w:r>
      <w:r w:rsidDel="00000000" w:rsidR="00000000" w:rsidRPr="00000000">
        <w:rPr>
          <w:highlight w:val="white"/>
          <w:rtl w:val="0"/>
        </w:rPr>
        <w:t xml:space="preserve">, J. ProQuest Dissertations &amp; Theses, 2016. [Ph.D. Dissertation] United States: Indiana: </w:t>
      </w:r>
      <w:r w:rsidDel="00000000" w:rsidR="00000000" w:rsidRPr="00000000">
        <w:rPr>
          <w:highlight w:val="white"/>
          <w:rtl w:val="0"/>
        </w:rPr>
        <w:t xml:space="preserve">Indiana University</w:t>
      </w:r>
      <w:r w:rsidDel="00000000" w:rsidR="00000000" w:rsidRPr="00000000">
        <w:rPr>
          <w:highlight w:val="white"/>
          <w:rtl w:val="0"/>
        </w:rPr>
        <w:t xml:space="preserve">, 2016. Publication Number: </w:t>
      </w:r>
      <w:r w:rsidDel="00000000" w:rsidR="00000000" w:rsidRPr="00000000">
        <w:rPr>
          <w:highlight w:val="white"/>
          <w:rtl w:val="0"/>
        </w:rPr>
        <w:t xml:space="preserve">10144212</w:t>
      </w:r>
      <w:r w:rsidDel="00000000" w:rsidR="00000000" w:rsidRPr="00000000">
        <w:rPr>
          <w:highlight w:val="white"/>
          <w:rtl w:val="0"/>
        </w:rPr>
        <w:t xml:space="preserve">.</w:t>
      </w:r>
    </w:p>
    <w:p w:rsidR="00000000" w:rsidDel="00000000" w:rsidP="00000000" w:rsidRDefault="00000000" w:rsidRPr="00000000" w14:paraId="00000006">
      <w:pPr>
        <w:widowControl w:val="1"/>
        <w:spacing w:line="276" w:lineRule="auto"/>
        <w:ind w:firstLine="0"/>
        <w:contextualSpacing w:val="0"/>
        <w:rPr>
          <w:highlight w:val="white"/>
        </w:rPr>
      </w:pPr>
      <w:bookmarkStart w:colFirst="0" w:colLast="0" w:name="_evm8mhoeucju" w:id="3"/>
      <w:bookmarkEnd w:id="3"/>
      <w:r w:rsidDel="00000000" w:rsidR="00000000" w:rsidRPr="00000000">
        <w:rPr>
          <w:i w:val="1"/>
          <w:highlight w:val="white"/>
          <w:rtl w:val="0"/>
        </w:rPr>
        <w:t xml:space="preserve">Diagnosing the past, consequences for the future: A life cycle of trauma and mental health issues for incarcerated women. Does race matter?</w:t>
      </w:r>
      <w:r w:rsidDel="00000000" w:rsidR="00000000" w:rsidRPr="00000000">
        <w:rPr>
          <w:i w:val="1"/>
          <w:highlight w:val="white"/>
          <w:rtl w:val="0"/>
        </w:rPr>
        <w:t xml:space="preserve">. </w:t>
      </w:r>
      <w:r w:rsidDel="00000000" w:rsidR="00000000" w:rsidRPr="00000000">
        <w:rPr>
          <w:highlight w:val="white"/>
          <w:rtl w:val="0"/>
        </w:rPr>
        <w:t xml:space="preserve">Hartsfield, J</w:t>
      </w:r>
      <w:r w:rsidDel="00000000" w:rsidR="00000000" w:rsidRPr="00000000">
        <w:rPr>
          <w:highlight w:val="white"/>
          <w:rtl w:val="0"/>
        </w:rPr>
        <w:t xml:space="preserve">. ProQuest Dissertations &amp; Theses, 2011. [Ph.D. Dissertation] United States: Oklahoma: The University of Oklahoma, 2016. Publication Number: 3453946.</w:t>
      </w:r>
    </w:p>
    <w:p w:rsidR="00000000" w:rsidDel="00000000" w:rsidP="00000000" w:rsidRDefault="00000000" w:rsidRPr="00000000" w14:paraId="00000007">
      <w:pPr>
        <w:widowControl w:val="1"/>
        <w:spacing w:line="276" w:lineRule="auto"/>
        <w:ind w:firstLine="0"/>
        <w:contextualSpacing w:val="0"/>
        <w:rPr>
          <w:highlight w:val="white"/>
        </w:rPr>
      </w:pPr>
      <w:bookmarkStart w:colFirst="0" w:colLast="0" w:name="_sk6eixg2x3zi" w:id="1"/>
      <w:bookmarkEnd w:id="1"/>
      <w:r w:rsidDel="00000000" w:rsidR="00000000" w:rsidRPr="00000000">
        <w:rPr>
          <w:i w:val="1"/>
          <w:highlight w:val="white"/>
          <w:rtl w:val="0"/>
        </w:rPr>
        <w:t xml:space="preserve">Factors that prevent community college students with learning disabilities from requesting and using reasonable accommodations</w:t>
      </w:r>
      <w:r w:rsidDel="00000000" w:rsidR="00000000" w:rsidRPr="00000000">
        <w:rPr>
          <w:i w:val="1"/>
          <w:highlight w:val="white"/>
          <w:rtl w:val="0"/>
        </w:rPr>
        <w:t xml:space="preserve">. </w:t>
      </w:r>
      <w:r w:rsidDel="00000000" w:rsidR="00000000" w:rsidRPr="00000000">
        <w:rPr>
          <w:highlight w:val="white"/>
          <w:rtl w:val="0"/>
        </w:rPr>
        <w:t xml:space="preserve">Gonzalez, C. </w:t>
      </w:r>
      <w:r w:rsidDel="00000000" w:rsidR="00000000" w:rsidRPr="00000000">
        <w:rPr>
          <w:highlight w:val="white"/>
          <w:rtl w:val="0"/>
        </w:rPr>
        <w:t xml:space="preserve">ProQuest Dissertations &amp; Theses, 2016. [Ed.D. Dissertation] United States: </w:t>
      </w:r>
      <w:r w:rsidDel="00000000" w:rsidR="00000000" w:rsidRPr="00000000">
        <w:rPr>
          <w:highlight w:val="white"/>
          <w:rtl w:val="0"/>
        </w:rPr>
        <w:t xml:space="preserve">California</w:t>
      </w:r>
      <w:r w:rsidDel="00000000" w:rsidR="00000000" w:rsidRPr="00000000">
        <w:rPr>
          <w:highlight w:val="white"/>
          <w:rtl w:val="0"/>
        </w:rPr>
        <w:t xml:space="preserve">: </w:t>
      </w:r>
      <w:r w:rsidDel="00000000" w:rsidR="00000000" w:rsidRPr="00000000">
        <w:rPr>
          <w:highlight w:val="white"/>
          <w:rtl w:val="0"/>
        </w:rPr>
        <w:t xml:space="preserve">California State University, Los Angeles</w:t>
      </w:r>
      <w:r w:rsidDel="00000000" w:rsidR="00000000" w:rsidRPr="00000000">
        <w:rPr>
          <w:highlight w:val="white"/>
          <w:rtl w:val="0"/>
        </w:rPr>
        <w:t xml:space="preserve">, 2016. Publication Number: </w:t>
      </w:r>
      <w:r w:rsidDel="00000000" w:rsidR="00000000" w:rsidRPr="00000000">
        <w:rPr>
          <w:highlight w:val="white"/>
          <w:rtl w:val="0"/>
        </w:rPr>
        <w:t xml:space="preserve">10147570</w:t>
      </w:r>
      <w:r w:rsidDel="00000000" w:rsidR="00000000" w:rsidRPr="00000000">
        <w:rPr>
          <w:highlight w:val="white"/>
          <w:rtl w:val="0"/>
        </w:rPr>
        <w:t xml:space="preserve">.</w:t>
      </w:r>
    </w:p>
    <w:sectPr>
      <w:headerReference r:id="rId7" w:type="default"/>
      <w:footerReference r:id="rId8" w:type="default"/>
      <w:pgSz w:h="16838" w:w="11906"/>
      <w:pgMar w:bottom="1411.2" w:top="1411.2" w:left="1411.2" w:right="1411.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F">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This category includes both the concepts of symbolic and modern prejudice. While at one time they were considered separate, the significant bulk of the literature now considers them the same thing (Henry &amp; Sears, 2008). Thus, it is referred to as symbolic prejudice throughout this manuscript for clarity.</w:t>
      </w:r>
      <w:r w:rsidDel="00000000" w:rsidR="00000000" w:rsidRPr="00000000">
        <w:rPr>
          <w:rtl w:val="0"/>
        </w:rPr>
      </w:r>
    </w:p>
  </w:footnote>
  <w:footnote w:id="1">
    <w:p w:rsidR="00000000" w:rsidDel="00000000" w:rsidP="00000000" w:rsidRDefault="00000000" w:rsidRPr="00000000" w14:paraId="00000010">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Son Hing et al. (2008) describe principled conservatives as those who truly value the abstract conservative ideas, which causes them to dislike policies that stray from tradition. Principled conservatives score high on explicit racial prejudice because “they cherish the values confounded with the content of the MRS [modern racism scale]” and low on implicit racial prejudice because they discriminate against both racial groups equally implicitly (Son Hing et al. 2008, p. 973). However, Son Hing et al. (2008) note “principled conservatism might not be a race-neutral ideology; rather racism and conservatism could be linked because both are used to legitimize hegemony” (pp. 972-973). </w:t>
      </w:r>
      <w:r w:rsidDel="00000000" w:rsidR="00000000" w:rsidRPr="00000000">
        <w:rPr>
          <w:rtl w:val="0"/>
        </w:rPr>
      </w:r>
    </w:p>
  </w:footnote>
  <w:footnote w:id="2">
    <w:p w:rsidR="00000000" w:rsidDel="00000000" w:rsidP="00000000" w:rsidRDefault="00000000" w:rsidRPr="00000000" w14:paraId="00000011">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Although there is no standardized overall error rate for removal, 30% was selected because it was the most frequent cut-off point found among IAT literature. Of the 20 IAT manuscripts found that discussed their exact overall error rates the cut-off points ranged from error rates greater than 15% to greater than 40%; the median was 30%, the mode was 35%, and the mean was 28.4% (Chen et al., 2011; Cvencek, Greenwald, &amp; Meltzoff, 2011; Cvencek, Meltzoff, &amp; Greenwald, 2011; Dionne, Gainforth, O’Malley, &amp; Latimer-Cheung, 2013; Enea-drapeau, Carlier, &amp; Huguet, 2012; Greenwald &amp; Farnham, 2000; Huang, Wang, &amp; Shi, 2009; Ilavarasu, Rajesh, &amp; Hankey 2014; Karpinski &amp; Hilton 2001; Karpinski, Steinman, &amp; Hilton, 2005; Ma, Chen, Zhou, &amp; Zhang 2012; Maison, Greenwald, &amp; Bruin 2001; Nosek et al,. 2007; Nosek, Banaji, &amp; Greenwald 2002; Ratliff &amp; Nosek 2010; Sabin, Marini, &amp; Nosek, 2012; Teachman et al., 2003; Thomas, Doyle, &amp; Vaugh, 2007).</w:t>
      </w:r>
      <w:r w:rsidDel="00000000" w:rsidR="00000000" w:rsidRPr="00000000">
        <w:rPr>
          <w:rtl w:val="0"/>
        </w:rPr>
      </w:r>
    </w:p>
  </w:footnote>
  <w:footnote w:id="3">
    <w:p w:rsidR="00000000" w:rsidDel="00000000" w:rsidP="00000000" w:rsidRDefault="00000000" w:rsidRPr="00000000" w14:paraId="00000012">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The opening vignette is excerpted from the first author’s fieldnotes.</w:t>
      </w:r>
      <w:r w:rsidDel="00000000" w:rsidR="00000000" w:rsidRPr="00000000">
        <w:rPr>
          <w:rtl w:val="0"/>
        </w:rPr>
      </w:r>
    </w:p>
  </w:footnote>
  <w:footnote w:id="4">
    <w:p w:rsidR="00000000" w:rsidDel="00000000" w:rsidP="00000000" w:rsidRDefault="00000000" w:rsidRPr="00000000" w14:paraId="00000013">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rtl w:val="0"/>
        </w:rPr>
        <w:t xml:space="preserve">In contrast, research has shown that Black children in the US, in general, are less likely than their White counterparts to receive ASD diagnoses (Mandell et al., 2009).</w:t>
      </w:r>
      <w:r w:rsidDel="00000000" w:rsidR="00000000" w:rsidRPr="00000000">
        <w:rPr>
          <w:rtl w:val="0"/>
        </w:rPr>
      </w:r>
    </w:p>
  </w:footnote>
  <w:footnote w:id="5">
    <w:p w:rsidR="00000000" w:rsidDel="00000000" w:rsidP="00000000" w:rsidRDefault="00000000" w:rsidRPr="00000000" w14:paraId="00000014">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rtl w:val="0"/>
        </w:rPr>
        <w:t xml:space="preserve">Although the vaccine theory has been discredited, many in the Somali-American community still subscribe to it.</w:t>
      </w:r>
      <w:r w:rsidDel="00000000" w:rsidR="00000000" w:rsidRPr="00000000">
        <w:rPr>
          <w:rtl w:val="0"/>
        </w:rPr>
      </w:r>
    </w:p>
  </w:footnote>
  <w:footnote w:id="6">
    <w:p w:rsidR="00000000" w:rsidDel="00000000" w:rsidP="00000000" w:rsidRDefault="00000000" w:rsidRPr="00000000" w14:paraId="00000015">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The gender requirement was introduced because of the complex interactions among behavior, race and gender and by focusing on a single gender we were able to do a more targeted analysis. Because boys are significantly more likely to be diagnosed with autism (CDC, 2014) we decided to focus on them as opposed to girls.</w:t>
      </w:r>
      <w:r w:rsidDel="00000000" w:rsidR="00000000" w:rsidRPr="00000000">
        <w:rPr>
          <w:rtl w:val="0"/>
        </w:rPr>
      </w:r>
    </w:p>
  </w:footnote>
  <w:footnote w:id="7">
    <w:p w:rsidR="00000000" w:rsidDel="00000000" w:rsidP="00000000" w:rsidRDefault="00000000" w:rsidRPr="00000000" w14:paraId="00000016">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2"/>
          <w:szCs w:val="22"/>
          <w:rtl w:val="0"/>
        </w:rPr>
        <w:t xml:space="preserve">Pseudonyms are used for all people and places to protect the privacy of participants.</w:t>
      </w:r>
      <w:r w:rsidDel="00000000" w:rsidR="00000000" w:rsidRPr="00000000">
        <w:rPr>
          <w:rtl w:val="0"/>
        </w:rPr>
      </w:r>
    </w:p>
  </w:footnote>
  <w:footnote w:id="8">
    <w:p w:rsidR="00000000" w:rsidDel="00000000" w:rsidP="00000000" w:rsidRDefault="00000000" w:rsidRPr="00000000" w14:paraId="00000017">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Due to timing, only two interviews were conducted with the mother and educator in Case 1. In these cases, the questions from the first two interview protocols were combined in a single interview.</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w:t>
          </w:r>
          <w:r w:rsidDel="00000000" w:rsidR="00000000" w:rsidRPr="00000000">
            <w:rPr>
              <w:rFonts w:ascii="Arial" w:cs="Arial" w:eastAsia="Arial" w:hAnsi="Arial"/>
              <w:b w:val="1"/>
              <w:color w:val="ffffff"/>
              <w:rtl w:val="0"/>
            </w:rPr>
            <w:t xml:space="preserve">4</w:t>
          </w:r>
          <w:r w:rsidDel="00000000" w:rsidR="00000000" w:rsidRPr="00000000">
            <w:rPr>
              <w:rFonts w:ascii="Arial" w:cs="Arial" w:eastAsia="Arial" w:hAnsi="Arial"/>
              <w:b w:val="1"/>
              <w:color w:val="ffffff"/>
              <w:sz w:val="24"/>
              <w:szCs w:val="24"/>
              <w:rtl w:val="0"/>
            </w:rPr>
            <w:br w:type="textWrapping"/>
            <w:t xml:space="preserve"> Issue </w:t>
          </w:r>
          <w:r w:rsidDel="00000000" w:rsidR="00000000" w:rsidRPr="00000000">
            <w:rPr>
              <w:rFonts w:ascii="Arial" w:cs="Arial" w:eastAsia="Arial" w:hAnsi="Arial"/>
              <w:b w:val="1"/>
              <w:color w:val="ffffff"/>
              <w:rtl w:val="0"/>
            </w:rPr>
            <w:t xml:space="preserve">1</w:t>
          </w:r>
          <w:r w:rsidDel="00000000" w:rsidR="00000000" w:rsidRPr="00000000">
            <w:rPr>
              <w:rtl w:val="0"/>
            </w:rPr>
          </w:r>
        </w:p>
      </w:tc>
    </w:tr>
  </w:tbl>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color w:val="ff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color="auto" w:space="0" w:sz="0" w:val="none"/>
        <w:left w:color="auto" w:space="0" w:sz="0" w:val="none"/>
        <w:bottom w:color="auto" w:space="10" w:sz="0" w:val="none"/>
        <w:right w:color="auto" w:space="0" w:sz="0" w:val="none"/>
      </w:pBdr>
      <w:spacing w:after="0" w:line="276" w:lineRule="auto"/>
      <w:ind w:firstLine="0"/>
    </w:pPr>
    <w:rPr>
      <w:b w:val="1"/>
      <w:i w:val="1"/>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