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0">
      <w:pPr>
        <w:pStyle w:val="Title"/>
        <w:widowControl w:val="1"/>
        <w:pBdr>
          <w:top w:color="auto" w:space="0" w:sz="0" w:val="none"/>
          <w:left w:color="auto" w:space="0" w:sz="0" w:val="none"/>
          <w:bottom w:color="auto" w:space="10" w:sz="0" w:val="none"/>
          <w:right w:color="auto" w:space="0" w:sz="0" w:val="none"/>
        </w:pBdr>
        <w:spacing w:line="331.2" w:lineRule="auto"/>
        <w:ind w:firstLine="0"/>
        <w:contextualSpacing w:val="0"/>
        <w:rPr/>
      </w:pPr>
      <w:bookmarkStart w:colFirst="0" w:colLast="0" w:name="_mqla3v7wgtta" w:id="0"/>
      <w:bookmarkEnd w:id="0"/>
      <w:r w:rsidDel="00000000" w:rsidR="00000000" w:rsidRPr="00000000">
        <w:rPr>
          <w:rtl w:val="0"/>
        </w:rPr>
        <w:t xml:space="preserve">Dissertation Abstracts</w:t>
      </w:r>
    </w:p>
    <w:p w:rsidR="00000000" w:rsidDel="00000000" w:rsidP="00000000" w:rsidRDefault="00000000" w:rsidRPr="00000000" w14:paraId="00000001">
      <w:pPr>
        <w:ind w:left="0" w:firstLine="0"/>
        <w:contextualSpacing w:val="0"/>
        <w:jc w:val="center"/>
        <w:rPr/>
      </w:pPr>
      <w:r w:rsidDel="00000000" w:rsidR="00000000" w:rsidRPr="00000000">
        <w:rPr>
          <w:rtl w:val="0"/>
        </w:rPr>
        <w:t xml:space="preserve">Compiled by Jonathon Erlen, University of Pittsburgh</w:t>
      </w:r>
    </w:p>
    <w:p w:rsidR="00000000" w:rsidDel="00000000" w:rsidP="00000000" w:rsidRDefault="00000000" w:rsidRPr="00000000" w14:paraId="00000002">
      <w:pPr>
        <w:ind w:left="0" w:firstLine="0"/>
        <w:contextualSpacing w:val="0"/>
        <w:jc w:val="center"/>
        <w:rPr/>
      </w:pPr>
      <w:r w:rsidDel="00000000" w:rsidR="00000000" w:rsidRPr="00000000">
        <w:rPr>
          <w:rtl w:val="0"/>
        </w:rPr>
        <w:t xml:space="preserve">Edited by Megan Conway</w:t>
      </w:r>
      <w:r w:rsidDel="00000000" w:rsidR="00000000" w:rsidRPr="00000000">
        <w:rPr>
          <w:rtl w:val="0"/>
        </w:rPr>
      </w:r>
    </w:p>
    <w:p w:rsidR="00000000" w:rsidDel="00000000" w:rsidP="00000000" w:rsidRDefault="00000000" w:rsidRPr="00000000" w14:paraId="00000003">
      <w:pPr>
        <w:widowControl w:val="1"/>
        <w:spacing w:line="276" w:lineRule="auto"/>
        <w:ind w:firstLine="0"/>
        <w:contextualSpacing w:val="0"/>
        <w:rPr>
          <w:highlight w:val="white"/>
        </w:rPr>
      </w:pPr>
      <w:bookmarkStart w:colFirst="0" w:colLast="0" w:name="_sk6eixg2x3zi" w:id="1"/>
      <w:bookmarkEnd w:id="1"/>
      <w:r w:rsidDel="00000000" w:rsidR="00000000" w:rsidRPr="00000000">
        <w:rPr>
          <w:i w:val="1"/>
          <w:highlight w:val="white"/>
          <w:rtl w:val="0"/>
        </w:rPr>
        <w:t xml:space="preserve">Able-bodied womanhood: Disability and corporeally exclusionary narratives in black and white women's rights discourses, 1832-1932. </w:t>
      </w:r>
      <w:r w:rsidDel="00000000" w:rsidR="00000000" w:rsidRPr="00000000">
        <w:rPr>
          <w:highlight w:val="white"/>
          <w:rtl w:val="0"/>
        </w:rPr>
        <w:t xml:space="preserve">Temple</w:t>
      </w:r>
      <w:r w:rsidDel="00000000" w:rsidR="00000000" w:rsidRPr="00000000">
        <w:rPr>
          <w:highlight w:val="white"/>
          <w:rtl w:val="0"/>
        </w:rPr>
        <w:t xml:space="preserve">, H. A. ProQuest Dissertations </w:t>
      </w:r>
      <w:r w:rsidDel="00000000" w:rsidR="00000000" w:rsidRPr="00000000">
        <w:rPr>
          <w:highlight w:val="white"/>
          <w:rtl w:val="0"/>
        </w:rPr>
        <w:t xml:space="preserve">&amp; Theses</w:t>
      </w:r>
      <w:r w:rsidDel="00000000" w:rsidR="00000000" w:rsidRPr="00000000">
        <w:rPr>
          <w:highlight w:val="white"/>
          <w:rtl w:val="0"/>
        </w:rPr>
        <w:t xml:space="preserve">, 2016. [Ph.D. Dissertation] United States: Maryland: </w:t>
      </w:r>
      <w:r w:rsidDel="00000000" w:rsidR="00000000" w:rsidRPr="00000000">
        <w:rPr>
          <w:highlight w:val="white"/>
          <w:rtl w:val="0"/>
        </w:rPr>
        <w:t xml:space="preserve">University of Maryland, College Park</w:t>
      </w:r>
      <w:r w:rsidDel="00000000" w:rsidR="00000000" w:rsidRPr="00000000">
        <w:rPr>
          <w:highlight w:val="white"/>
          <w:rtl w:val="0"/>
        </w:rPr>
        <w:t xml:space="preserve">, 2016. Publication Number: </w:t>
      </w:r>
      <w:r w:rsidDel="00000000" w:rsidR="00000000" w:rsidRPr="00000000">
        <w:rPr>
          <w:highlight w:val="white"/>
          <w:rtl w:val="0"/>
        </w:rPr>
        <w:t xml:space="preserve">10159138</w:t>
      </w:r>
      <w:r w:rsidDel="00000000" w:rsidR="00000000" w:rsidRPr="00000000">
        <w:rPr>
          <w:highlight w:val="white"/>
          <w:rtl w:val="0"/>
        </w:rPr>
        <w:t xml:space="preserve">.</w:t>
      </w:r>
    </w:p>
    <w:p w:rsidR="00000000" w:rsidDel="00000000" w:rsidP="00000000" w:rsidRDefault="00000000" w:rsidRPr="00000000" w14:paraId="00000004">
      <w:pPr>
        <w:widowControl w:val="1"/>
        <w:spacing w:line="276" w:lineRule="auto"/>
        <w:ind w:firstLine="0"/>
        <w:contextualSpacing w:val="0"/>
        <w:rPr>
          <w:i w:val="1"/>
          <w:highlight w:val="white"/>
        </w:rPr>
      </w:pPr>
      <w:bookmarkStart w:colFirst="0" w:colLast="0" w:name="_sk6eixg2x3zi" w:id="1"/>
      <w:bookmarkEnd w:id="1"/>
      <w:r w:rsidDel="00000000" w:rsidR="00000000" w:rsidRPr="00000000">
        <w:rPr>
          <w:i w:val="1"/>
          <w:highlight w:val="white"/>
          <w:rtl w:val="0"/>
        </w:rPr>
        <w:t xml:space="preserve">Asylum literature and patient narrators: Authors, authorities, and advocates. </w:t>
      </w:r>
      <w:r w:rsidDel="00000000" w:rsidR="00000000" w:rsidRPr="00000000">
        <w:rPr>
          <w:highlight w:val="white"/>
          <w:rtl w:val="0"/>
        </w:rPr>
        <w:t xml:space="preserve">Santoro-Murphy, S.V. ProQuest Dissertations &amp; Theses, 2016. [Ph.D. Dissertation] United States: Indiana: Indiana University of Pennsylvania, 2016. Publication Number: 10144728.</w:t>
      </w:r>
      <w:r w:rsidDel="00000000" w:rsidR="00000000" w:rsidRPr="00000000">
        <w:rPr>
          <w:rtl w:val="0"/>
        </w:rPr>
      </w:r>
    </w:p>
    <w:p w:rsidR="00000000" w:rsidDel="00000000" w:rsidP="00000000" w:rsidRDefault="00000000" w:rsidRPr="00000000" w14:paraId="00000005">
      <w:pPr>
        <w:widowControl w:val="1"/>
        <w:spacing w:line="276" w:lineRule="auto"/>
        <w:ind w:firstLine="0"/>
        <w:contextualSpacing w:val="0"/>
        <w:rPr>
          <w:highlight w:val="white"/>
        </w:rPr>
      </w:pPr>
      <w:bookmarkStart w:colFirst="0" w:colLast="0" w:name="_zhd92a2zbo7r" w:id="2"/>
      <w:bookmarkEnd w:id="2"/>
      <w:r w:rsidDel="00000000" w:rsidR="00000000" w:rsidRPr="00000000">
        <w:rPr>
          <w:i w:val="1"/>
          <w:highlight w:val="white"/>
          <w:rtl w:val="0"/>
        </w:rPr>
        <w:t xml:space="preserve">Crip modernisms: The roots of disability consciousness in American literature and culture</w:t>
      </w:r>
      <w:r w:rsidDel="00000000" w:rsidR="00000000" w:rsidRPr="00000000">
        <w:rPr>
          <w:i w:val="1"/>
          <w:highlight w:val="white"/>
          <w:rtl w:val="0"/>
        </w:rPr>
        <w:t xml:space="preserve">. </w:t>
      </w:r>
      <w:r w:rsidDel="00000000" w:rsidR="00000000" w:rsidRPr="00000000">
        <w:rPr>
          <w:highlight w:val="white"/>
          <w:rtl w:val="0"/>
        </w:rPr>
        <w:t xml:space="preserve">Waggoner</w:t>
      </w:r>
      <w:r w:rsidDel="00000000" w:rsidR="00000000" w:rsidRPr="00000000">
        <w:rPr>
          <w:highlight w:val="white"/>
          <w:rtl w:val="0"/>
        </w:rPr>
        <w:t xml:space="preserve">, J. ProQuest Dissertations &amp; Theses, 2016. [Ph.D. Dissertation] United States: Indiana: </w:t>
      </w:r>
      <w:r w:rsidDel="00000000" w:rsidR="00000000" w:rsidRPr="00000000">
        <w:rPr>
          <w:highlight w:val="white"/>
          <w:rtl w:val="0"/>
        </w:rPr>
        <w:t xml:space="preserve">Indiana University</w:t>
      </w:r>
      <w:r w:rsidDel="00000000" w:rsidR="00000000" w:rsidRPr="00000000">
        <w:rPr>
          <w:highlight w:val="white"/>
          <w:rtl w:val="0"/>
        </w:rPr>
        <w:t xml:space="preserve">, 2016. Publication Number: </w:t>
      </w:r>
      <w:r w:rsidDel="00000000" w:rsidR="00000000" w:rsidRPr="00000000">
        <w:rPr>
          <w:highlight w:val="white"/>
          <w:rtl w:val="0"/>
        </w:rPr>
        <w:t xml:space="preserve">10144212</w:t>
      </w:r>
      <w:r w:rsidDel="00000000" w:rsidR="00000000" w:rsidRPr="00000000">
        <w:rPr>
          <w:highlight w:val="white"/>
          <w:rtl w:val="0"/>
        </w:rPr>
        <w:t xml:space="preserve">.</w:t>
      </w:r>
    </w:p>
    <w:p w:rsidR="00000000" w:rsidDel="00000000" w:rsidP="00000000" w:rsidRDefault="00000000" w:rsidRPr="00000000" w14:paraId="00000006">
      <w:pPr>
        <w:widowControl w:val="1"/>
        <w:spacing w:line="276" w:lineRule="auto"/>
        <w:ind w:firstLine="0"/>
        <w:contextualSpacing w:val="0"/>
        <w:rPr>
          <w:highlight w:val="white"/>
        </w:rPr>
      </w:pPr>
      <w:bookmarkStart w:colFirst="0" w:colLast="0" w:name="_evm8mhoeucju" w:id="3"/>
      <w:bookmarkEnd w:id="3"/>
      <w:r w:rsidDel="00000000" w:rsidR="00000000" w:rsidRPr="00000000">
        <w:rPr>
          <w:i w:val="1"/>
          <w:highlight w:val="white"/>
          <w:rtl w:val="0"/>
        </w:rPr>
        <w:t xml:space="preserve">Diagnosing the past, consequences for the future: A life cycle of trauma and mental health issues for incarcerated women. Does race matter?</w:t>
      </w:r>
      <w:r w:rsidDel="00000000" w:rsidR="00000000" w:rsidRPr="00000000">
        <w:rPr>
          <w:i w:val="1"/>
          <w:highlight w:val="white"/>
          <w:rtl w:val="0"/>
        </w:rPr>
        <w:t xml:space="preserve">. </w:t>
      </w:r>
      <w:r w:rsidDel="00000000" w:rsidR="00000000" w:rsidRPr="00000000">
        <w:rPr>
          <w:highlight w:val="white"/>
          <w:rtl w:val="0"/>
        </w:rPr>
        <w:t xml:space="preserve">Hartsfield, J</w:t>
      </w:r>
      <w:r w:rsidDel="00000000" w:rsidR="00000000" w:rsidRPr="00000000">
        <w:rPr>
          <w:highlight w:val="white"/>
          <w:rtl w:val="0"/>
        </w:rPr>
        <w:t xml:space="preserve">. ProQuest Dissertations &amp; Theses, 2011. [Ph.D. Dissertation] United States: Oklahoma: The University of Oklahoma, 2016. Publication Number: 3453946.</w:t>
      </w:r>
    </w:p>
    <w:p w:rsidR="00000000" w:rsidDel="00000000" w:rsidP="00000000" w:rsidRDefault="00000000" w:rsidRPr="00000000" w14:paraId="00000007">
      <w:pPr>
        <w:widowControl w:val="1"/>
        <w:spacing w:line="276" w:lineRule="auto"/>
        <w:ind w:firstLine="0"/>
        <w:contextualSpacing w:val="0"/>
        <w:rPr>
          <w:highlight w:val="white"/>
        </w:rPr>
      </w:pPr>
      <w:bookmarkStart w:colFirst="0" w:colLast="0" w:name="_sk6eixg2x3zi" w:id="1"/>
      <w:bookmarkEnd w:id="1"/>
      <w:r w:rsidDel="00000000" w:rsidR="00000000" w:rsidRPr="00000000">
        <w:rPr>
          <w:i w:val="1"/>
          <w:highlight w:val="white"/>
          <w:rtl w:val="0"/>
        </w:rPr>
        <w:t xml:space="preserve">Factors that prevent community college students with learning disabilities from requesting and using reasonable accommodations</w:t>
      </w:r>
      <w:r w:rsidDel="00000000" w:rsidR="00000000" w:rsidRPr="00000000">
        <w:rPr>
          <w:i w:val="1"/>
          <w:highlight w:val="white"/>
          <w:rtl w:val="0"/>
        </w:rPr>
        <w:t xml:space="preserve">. </w:t>
      </w:r>
      <w:r w:rsidDel="00000000" w:rsidR="00000000" w:rsidRPr="00000000">
        <w:rPr>
          <w:highlight w:val="white"/>
          <w:rtl w:val="0"/>
        </w:rPr>
        <w:t xml:space="preserve">Gonzalez, C. </w:t>
      </w:r>
      <w:r w:rsidDel="00000000" w:rsidR="00000000" w:rsidRPr="00000000">
        <w:rPr>
          <w:highlight w:val="white"/>
          <w:rtl w:val="0"/>
        </w:rPr>
        <w:t xml:space="preserve">ProQuest Dissertations &amp; Theses, 2016. [Ed.D. Dissertation] United States: </w:t>
      </w:r>
      <w:r w:rsidDel="00000000" w:rsidR="00000000" w:rsidRPr="00000000">
        <w:rPr>
          <w:highlight w:val="white"/>
          <w:rtl w:val="0"/>
        </w:rPr>
        <w:t xml:space="preserve">California</w:t>
      </w:r>
      <w:r w:rsidDel="00000000" w:rsidR="00000000" w:rsidRPr="00000000">
        <w:rPr>
          <w:highlight w:val="white"/>
          <w:rtl w:val="0"/>
        </w:rPr>
        <w:t xml:space="preserve">: </w:t>
      </w:r>
      <w:r w:rsidDel="00000000" w:rsidR="00000000" w:rsidRPr="00000000">
        <w:rPr>
          <w:highlight w:val="white"/>
          <w:rtl w:val="0"/>
        </w:rPr>
        <w:t xml:space="preserve">California State University, Los Angeles</w:t>
      </w:r>
      <w:r w:rsidDel="00000000" w:rsidR="00000000" w:rsidRPr="00000000">
        <w:rPr>
          <w:highlight w:val="white"/>
          <w:rtl w:val="0"/>
        </w:rPr>
        <w:t xml:space="preserve">, 2016. Publication Number: </w:t>
      </w:r>
      <w:r w:rsidDel="00000000" w:rsidR="00000000" w:rsidRPr="00000000">
        <w:rPr>
          <w:highlight w:val="white"/>
          <w:rtl w:val="0"/>
        </w:rPr>
        <w:t xml:space="preserve">10147570</w:t>
      </w:r>
      <w:r w:rsidDel="00000000" w:rsidR="00000000" w:rsidRPr="00000000">
        <w:rPr>
          <w:highlight w:val="white"/>
          <w:rtl w:val="0"/>
        </w:rPr>
        <w:t xml:space="preserve">.</w:t>
      </w:r>
    </w:p>
    <w:sectPr>
      <w:headerReference r:id="rId7" w:type="default"/>
      <w:footerReference r:id="rId8" w:type="default"/>
      <w:pgSz w:h="16838" w:w="11906"/>
      <w:pgMar w:bottom="1411.2" w:top="1411.2" w:left="1411.2" w:right="1411.2"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Arial"/>
  <w:font w:name="Georgia"/>
  <w:font w:name="Calibri"/>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360" w:firstLine="0"/>
      <w:contextualSpacing w:val="0"/>
      <w:jc w:val="left"/>
      <w:rPr/>
    </w:pPr>
    <w:r w:rsidDel="00000000" w:rsidR="00000000" w:rsidRPr="00000000">
      <w:rPr>
        <w:rtl w:val="0"/>
      </w:rPr>
    </w:r>
  </w:p>
  <w:tbl>
    <w:tblPr>
      <w:tblStyle w:val="Table2"/>
      <w:tblW w:w="11895.0" w:type="dxa"/>
      <w:jc w:val="center"/>
      <w:tblLayout w:type="fixed"/>
      <w:tblLook w:val="0600"/>
    </w:tblPr>
    <w:tblGrid>
      <w:gridCol w:w="11895"/>
      <w:tblGridChange w:id="0">
        <w:tblGrid>
          <w:gridCol w:w="11895"/>
        </w:tblGrid>
      </w:tblGridChange>
    </w:tblGrid>
    <w:tr>
      <w:trPr>
        <w:trHeight w:val="500" w:hRule="atLeast"/>
      </w:trPr>
      <w:tc>
        <w:tcPr>
          <w:shd w:fill="400080" w:val="clear"/>
          <w:tcMar>
            <w:top w:w="0.0" w:type="dxa"/>
            <w:left w:w="0.0" w:type="dxa"/>
            <w:bottom w:w="0.0" w:type="dxa"/>
            <w:right w:w="0.0" w:type="dxa"/>
          </w:tcMar>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Arial" w:cs="Arial" w:eastAsia="Arial" w:hAnsi="Arial"/>
              <w:color w:val="ffffff"/>
              <w:sz w:val="24"/>
              <w:szCs w:val="24"/>
            </w:rPr>
          </w:pPr>
          <w:r w:rsidDel="00000000" w:rsidR="00000000" w:rsidRPr="00000000">
            <w:rPr>
              <w:rFonts w:ascii="Arial" w:cs="Arial" w:eastAsia="Arial" w:hAnsi="Arial"/>
              <w:color w:val="ffffff"/>
              <w:sz w:val="24"/>
              <w:szCs w:val="24"/>
              <w:rtl w:val="0"/>
            </w:rPr>
            <w:t xml:space="preserve">Page </w:t>
          </w:r>
          <w:r w:rsidDel="00000000" w:rsidR="00000000" w:rsidRPr="00000000">
            <w:rPr>
              <w:rFonts w:ascii="Arial" w:cs="Arial" w:eastAsia="Arial" w:hAnsi="Arial"/>
              <w:color w:val="ffffff"/>
              <w:sz w:val="24"/>
              <w:szCs w:val="24"/>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360" w:firstLine="0"/>
      <w:contextualSpacing w:val="0"/>
      <w:jc w:val="left"/>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0F">
      <w:pPr>
        <w:spacing w:after="0" w:line="240" w:lineRule="auto"/>
        <w:contextualSpacing w:val="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tl w:val="0"/>
        </w:rPr>
        <w:t xml:space="preserve">This category includes both the concepts of symbolic and modern prejudice. While at one time they were considered separate, the significant bulk of the literature now considers them the same thing (Henry &amp; Sears, 2008). Thus, it is referred to as symbolic prejudice throughout this manuscript for clarity.</w:t>
      </w:r>
      <w:r w:rsidDel="00000000" w:rsidR="00000000" w:rsidRPr="00000000">
        <w:rPr>
          <w:rtl w:val="0"/>
        </w:rPr>
      </w:r>
    </w:p>
  </w:footnote>
  <w:footnote w:id="1">
    <w:p w:rsidR="00000000" w:rsidDel="00000000" w:rsidP="00000000" w:rsidRDefault="00000000" w:rsidRPr="00000000" w14:paraId="00000010">
      <w:pPr>
        <w:spacing w:after="0" w:line="240" w:lineRule="auto"/>
        <w:contextualSpacing w:val="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tl w:val="0"/>
        </w:rPr>
        <w:t xml:space="preserve">Son Hing et al. (2008) describe principled conservatives as those who truly value the abstract conservative ideas, which causes them to dislike policies that stray from tradition. Principled conservatives score high on explicit racial prejudice because “they cherish the values confounded with the content of the MRS [modern racism scale]” and low on implicit racial prejudice because they discriminate against both racial groups equally implicitly (Son Hing et al. 2008, p. 973). However, Son Hing et al. (2008) note “principled conservatism might not be a race-neutral ideology; rather racism and conservatism could be linked because both are used to legitimize hegemony” (pp. 972-973). </w:t>
      </w:r>
      <w:r w:rsidDel="00000000" w:rsidR="00000000" w:rsidRPr="00000000">
        <w:rPr>
          <w:rtl w:val="0"/>
        </w:rPr>
      </w:r>
    </w:p>
  </w:footnote>
  <w:footnote w:id="2">
    <w:p w:rsidR="00000000" w:rsidDel="00000000" w:rsidP="00000000" w:rsidRDefault="00000000" w:rsidRPr="00000000" w14:paraId="00000011">
      <w:pPr>
        <w:spacing w:after="0" w:line="240" w:lineRule="auto"/>
        <w:contextualSpacing w:val="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tl w:val="0"/>
        </w:rPr>
        <w:t xml:space="preserve">Although there is no standardized overall error rate for removal, 30% was selected because it was the most frequent cut-off point found among IAT literature. Of the 20 IAT manuscripts found that discussed their exact overall error rates the cut-off points ranged from error rates greater than 15% to greater than 40%; the median was 30%, the mode was 35%, and the mean was 28.4% (Chen et al., 2011; Cvencek, Greenwald, &amp; Meltzoff, 2011; Cvencek, Meltzoff, &amp; Greenwald, 2011; Dionne, Gainforth, O’Malley, &amp; Latimer-Cheung, 2013; Enea-drapeau, Carlier, &amp; Huguet, 2012; Greenwald &amp; Farnham, 2000; Huang, Wang, &amp; Shi, 2009; Ilavarasu, Rajesh, &amp; Hankey 2014; Karpinski &amp; Hilton 2001; Karpinski, Steinman, &amp; Hilton, 2005; Ma, Chen, Zhou, &amp; Zhang 2012; Maison, Greenwald, &amp; Bruin 2001; Nosek et al,. 2007; Nosek, Banaji, &amp; Greenwald 2002; Ratliff &amp; Nosek 2010; Sabin, Marini, &amp; Nosek, 2012; Teachman et al., 2003; Thomas, Doyle, &amp; Vaugh, 2007).</w:t>
      </w:r>
      <w:r w:rsidDel="00000000" w:rsidR="00000000" w:rsidRPr="00000000">
        <w:rPr>
          <w:rtl w:val="0"/>
        </w:rPr>
      </w:r>
    </w:p>
  </w:footnote>
  <w:footnote w:id="3">
    <w:p w:rsidR="00000000" w:rsidDel="00000000" w:rsidP="00000000" w:rsidRDefault="00000000" w:rsidRPr="00000000" w14:paraId="00000012">
      <w:pPr>
        <w:spacing w:after="0" w:line="240" w:lineRule="auto"/>
        <w:contextualSpacing w:val="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highlight w:val="white"/>
          <w:rtl w:val="0"/>
        </w:rPr>
        <w:t xml:space="preserve">The opening vignette is excerpted from the first author’s fieldnotes.</w:t>
      </w:r>
      <w:r w:rsidDel="00000000" w:rsidR="00000000" w:rsidRPr="00000000">
        <w:rPr>
          <w:rtl w:val="0"/>
        </w:rPr>
      </w:r>
    </w:p>
  </w:footnote>
  <w:footnote w:id="4">
    <w:p w:rsidR="00000000" w:rsidDel="00000000" w:rsidP="00000000" w:rsidRDefault="00000000" w:rsidRPr="00000000" w14:paraId="00000013">
      <w:pPr>
        <w:spacing w:after="0" w:line="240" w:lineRule="auto"/>
        <w:contextualSpacing w:val="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Cambria" w:cs="Cambria" w:eastAsia="Cambria" w:hAnsi="Cambria"/>
          <w:rtl w:val="0"/>
        </w:rPr>
        <w:t xml:space="preserve">In contrast, research has shown that Black children in the US, in general, are less likely than their White counterparts to receive ASD diagnoses (Mandell et al., 2009).</w:t>
      </w:r>
      <w:r w:rsidDel="00000000" w:rsidR="00000000" w:rsidRPr="00000000">
        <w:rPr>
          <w:rtl w:val="0"/>
        </w:rPr>
      </w:r>
    </w:p>
  </w:footnote>
  <w:footnote w:id="5">
    <w:p w:rsidR="00000000" w:rsidDel="00000000" w:rsidP="00000000" w:rsidRDefault="00000000" w:rsidRPr="00000000" w14:paraId="00000014">
      <w:pPr>
        <w:spacing w:after="0" w:line="240" w:lineRule="auto"/>
        <w:contextualSpacing w:val="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Cambria" w:cs="Cambria" w:eastAsia="Cambria" w:hAnsi="Cambria"/>
          <w:rtl w:val="0"/>
        </w:rPr>
        <w:t xml:space="preserve">Although the vaccine theory has been discredited, many in the Somali-American community still subscribe to it.</w:t>
      </w:r>
      <w:r w:rsidDel="00000000" w:rsidR="00000000" w:rsidRPr="00000000">
        <w:rPr>
          <w:rtl w:val="0"/>
        </w:rPr>
      </w:r>
    </w:p>
  </w:footnote>
  <w:footnote w:id="6">
    <w:p w:rsidR="00000000" w:rsidDel="00000000" w:rsidP="00000000" w:rsidRDefault="00000000" w:rsidRPr="00000000" w14:paraId="00000015">
      <w:pPr>
        <w:spacing w:after="0" w:line="240" w:lineRule="auto"/>
        <w:contextualSpacing w:val="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tl w:val="0"/>
        </w:rPr>
        <w:t xml:space="preserve">The gender requirement was introduced because of the complex interactions among behavior, race and gender and by focusing on a single gender we were able to do a more targeted analysis. Because boys are significantly more likely to be diagnosed with autism (CDC, 2014) we decided to focus on them as opposed to girls.</w:t>
      </w:r>
      <w:r w:rsidDel="00000000" w:rsidR="00000000" w:rsidRPr="00000000">
        <w:rPr>
          <w:rtl w:val="0"/>
        </w:rPr>
      </w:r>
    </w:p>
  </w:footnote>
  <w:footnote w:id="7">
    <w:p w:rsidR="00000000" w:rsidDel="00000000" w:rsidP="00000000" w:rsidRDefault="00000000" w:rsidRPr="00000000" w14:paraId="00000016">
      <w:pPr>
        <w:spacing w:after="0" w:line="240" w:lineRule="auto"/>
        <w:contextualSpacing w:val="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22"/>
          <w:szCs w:val="22"/>
          <w:rtl w:val="0"/>
        </w:rPr>
        <w:t xml:space="preserve">Pseudonyms are used for all people and places to protect the privacy of participants.</w:t>
      </w:r>
      <w:r w:rsidDel="00000000" w:rsidR="00000000" w:rsidRPr="00000000">
        <w:rPr>
          <w:rtl w:val="0"/>
        </w:rPr>
      </w:r>
    </w:p>
  </w:footnote>
  <w:footnote w:id="8">
    <w:p w:rsidR="00000000" w:rsidDel="00000000" w:rsidP="00000000" w:rsidRDefault="00000000" w:rsidRPr="00000000" w14:paraId="00000017">
      <w:pPr>
        <w:spacing w:after="0" w:line="240" w:lineRule="auto"/>
        <w:contextualSpacing w:val="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tl w:val="0"/>
        </w:rPr>
        <w:t xml:space="preserve">Due to timing, only two interviews were conducted with the mother and educator in Case 1. In these cases, the questions from the first two interview protocols were combined in a single interview.</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0" w:line="276" w:lineRule="auto"/>
      <w:contextualSpacing w:val="0"/>
      <w:rPr>
        <w:rFonts w:ascii="Times New Roman" w:cs="Times New Roman" w:eastAsia="Times New Roman" w:hAnsi="Times New Roman"/>
        <w:sz w:val="24"/>
        <w:szCs w:val="24"/>
      </w:rPr>
    </w:pPr>
    <w:r w:rsidDel="00000000" w:rsidR="00000000" w:rsidRPr="00000000">
      <w:rPr>
        <w:rtl w:val="0"/>
      </w:rPr>
    </w:r>
  </w:p>
  <w:tbl>
    <w:tblPr>
      <w:tblStyle w:val="Table1"/>
      <w:tblW w:w="14145.0" w:type="dxa"/>
      <w:jc w:val="center"/>
      <w:tblLayout w:type="fixed"/>
      <w:tblLook w:val="0400"/>
    </w:tblPr>
    <w:tblGrid>
      <w:gridCol w:w="10320"/>
      <w:gridCol w:w="3825"/>
      <w:tblGridChange w:id="0">
        <w:tblGrid>
          <w:gridCol w:w="10320"/>
          <w:gridCol w:w="3825"/>
        </w:tblGrid>
      </w:tblGridChange>
    </w:tblGrid>
    <w:tr>
      <w:trPr>
        <w:trHeight w:val="800" w:hRule="atLeast"/>
      </w:trPr>
      <w:tc>
        <w:tcPr>
          <w:shd w:fill="400080" w:val="clear"/>
          <w:vAlign w:val="center"/>
        </w:tcPr>
        <w:p w:rsidR="00000000" w:rsidDel="00000000" w:rsidP="00000000" w:rsidRDefault="00000000" w:rsidRPr="00000000" w14:paraId="00000009">
          <w:pPr>
            <w:widowControl w:val="1"/>
            <w:pBdr>
              <w:top w:space="0" w:sz="0" w:val="nil"/>
              <w:left w:space="0" w:sz="0" w:val="nil"/>
              <w:bottom w:space="0" w:sz="0" w:val="nil"/>
              <w:right w:space="0" w:sz="0" w:val="nil"/>
              <w:between w:space="0" w:sz="0" w:val="nil"/>
            </w:pBdr>
            <w:shd w:fill="auto" w:val="clear"/>
            <w:tabs>
              <w:tab w:val="center" w:pos="4320"/>
              <w:tab w:val="right" w:pos="8640"/>
            </w:tabs>
            <w:spacing w:after="0" w:line="240" w:lineRule="auto"/>
            <w:contextualSpacing w:val="0"/>
            <w:jc w:val="right"/>
            <w:rPr>
              <w:rFonts w:ascii="Arial" w:cs="Arial" w:eastAsia="Arial" w:hAnsi="Arial"/>
              <w:b w:val="1"/>
              <w:smallCaps w:val="1"/>
              <w:color w:val="ffffff"/>
              <w:sz w:val="24"/>
              <w:szCs w:val="24"/>
            </w:rPr>
          </w:pPr>
          <w:r w:rsidDel="00000000" w:rsidR="00000000" w:rsidRPr="00000000">
            <w:rPr>
              <w:rFonts w:ascii="Arial" w:cs="Arial" w:eastAsia="Arial" w:hAnsi="Arial"/>
              <w:b w:val="1"/>
              <w:smallCaps w:val="1"/>
              <w:color w:val="ffffff"/>
              <w:sz w:val="24"/>
              <w:szCs w:val="24"/>
              <w:rtl w:val="0"/>
            </w:rPr>
            <w:t xml:space="preserve">REVIEW OF DISABILITY STUDIES: AN INTERNATIONAL JOURNAL</w:t>
          </w:r>
        </w:p>
      </w:tc>
      <w:tc>
        <w:tcPr>
          <w:shd w:fill="000000" w:val="clear"/>
          <w:vAlign w:val="center"/>
        </w:tcPr>
        <w:p w:rsidR="00000000" w:rsidDel="00000000" w:rsidP="00000000" w:rsidRDefault="00000000" w:rsidRPr="00000000" w14:paraId="0000000A">
          <w:pPr>
            <w:widowControl w:val="1"/>
            <w:pBdr>
              <w:top w:space="0" w:sz="0" w:val="nil"/>
              <w:left w:space="0" w:sz="0" w:val="nil"/>
              <w:bottom w:space="0" w:sz="0" w:val="nil"/>
              <w:right w:space="0" w:sz="0" w:val="nil"/>
              <w:between w:space="0" w:sz="0" w:val="nil"/>
            </w:pBdr>
            <w:shd w:fill="auto" w:val="clear"/>
            <w:tabs>
              <w:tab w:val="center" w:pos="4320"/>
              <w:tab w:val="right" w:pos="8640"/>
            </w:tabs>
            <w:spacing w:after="0" w:line="240" w:lineRule="auto"/>
            <w:ind w:left="405" w:hanging="187.00000000000045"/>
            <w:contextualSpacing w:val="0"/>
            <w:rPr>
              <w:rFonts w:ascii="Arial" w:cs="Arial" w:eastAsia="Arial" w:hAnsi="Arial"/>
              <w:b w:val="1"/>
              <w:color w:val="ffffff"/>
              <w:sz w:val="24"/>
              <w:szCs w:val="24"/>
            </w:rPr>
          </w:pPr>
          <w:r w:rsidDel="00000000" w:rsidR="00000000" w:rsidRPr="00000000">
            <w:rPr>
              <w:rFonts w:ascii="Arial" w:cs="Arial" w:eastAsia="Arial" w:hAnsi="Arial"/>
              <w:b w:val="1"/>
              <w:color w:val="ffffff"/>
              <w:sz w:val="24"/>
              <w:szCs w:val="24"/>
              <w:rtl w:val="0"/>
            </w:rPr>
            <w:t xml:space="preserve">Volume 1</w:t>
          </w:r>
          <w:r w:rsidDel="00000000" w:rsidR="00000000" w:rsidRPr="00000000">
            <w:rPr>
              <w:rFonts w:ascii="Arial" w:cs="Arial" w:eastAsia="Arial" w:hAnsi="Arial"/>
              <w:b w:val="1"/>
              <w:color w:val="ffffff"/>
              <w:rtl w:val="0"/>
            </w:rPr>
            <w:t xml:space="preserve">4</w:t>
          </w:r>
          <w:r w:rsidDel="00000000" w:rsidR="00000000" w:rsidRPr="00000000">
            <w:rPr>
              <w:rFonts w:ascii="Arial" w:cs="Arial" w:eastAsia="Arial" w:hAnsi="Arial"/>
              <w:b w:val="1"/>
              <w:color w:val="ffffff"/>
              <w:sz w:val="24"/>
              <w:szCs w:val="24"/>
              <w:rtl w:val="0"/>
            </w:rPr>
            <w:br w:type="textWrapping"/>
            <w:t xml:space="preserve"> Issue </w:t>
          </w:r>
          <w:r w:rsidDel="00000000" w:rsidR="00000000" w:rsidRPr="00000000">
            <w:rPr>
              <w:rFonts w:ascii="Arial" w:cs="Arial" w:eastAsia="Arial" w:hAnsi="Arial"/>
              <w:b w:val="1"/>
              <w:color w:val="ffffff"/>
              <w:rtl w:val="0"/>
            </w:rPr>
            <w:t xml:space="preserve">1</w:t>
          </w:r>
          <w:r w:rsidDel="00000000" w:rsidR="00000000" w:rsidRPr="00000000">
            <w:rPr>
              <w:rtl w:val="0"/>
            </w:rPr>
          </w:r>
        </w:p>
      </w:tc>
    </w:tr>
  </w:tbl>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left"/>
      <w:rPr>
        <w:rFonts w:ascii="Calibri" w:cs="Calibri" w:eastAsia="Calibri" w:hAnsi="Calibri"/>
        <w:color w:val="ff0000"/>
        <w:sz w:val="22"/>
        <w:szCs w:val="2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Times New Roman" w:cs="Times New Roman" w:eastAsia="Times New Roman" w:hAnsi="Times New Roman"/>
        <w:b w:val="0"/>
        <w:i w:val="0"/>
        <w:smallCaps w:val="0"/>
        <w:strike w:val="0"/>
        <w:color w:val="000000"/>
        <w:sz w:val="24"/>
        <w:szCs w:val="24"/>
        <w:u w:val="none"/>
        <w:shd w:fill="auto" w:val="clear"/>
        <w:vertAlign w:val="baseline"/>
        <w:lang w:val="en-US"/>
      </w:rPr>
    </w:rPrDefault>
    <w:pPrDefault>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72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ind w:firstLine="23.000000000000185"/>
      <w:jc w:val="center"/>
    </w:pPr>
    <w:rPr>
      <w:rFonts w:ascii="Arial" w:cs="Arial" w:eastAsia="Arial" w:hAnsi="Arial"/>
      <w:b w:val="1"/>
      <w:sz w:val="28"/>
      <w:szCs w:val="2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0" w:lineRule="auto"/>
      <w:ind w:firstLine="23.000000000000185"/>
    </w:pPr>
    <w:rPr>
      <w:rFonts w:ascii="Arial" w:cs="Arial" w:eastAsia="Arial" w:hAnsi="Arial"/>
      <w:b w:val="1"/>
    </w:rPr>
  </w:style>
  <w:style w:type="paragraph" w:styleId="Heading3">
    <w:name w:val="heading 3"/>
    <w:basedOn w:val="Normal"/>
    <w:next w:val="Normal"/>
    <w:pPr>
      <w:keepNext w:val="1"/>
      <w:keepLines w:val="1"/>
      <w:pBdr>
        <w:top w:color="auto" w:space="0" w:sz="0" w:val="none"/>
        <w:left w:color="auto" w:space="0" w:sz="0" w:val="none"/>
        <w:bottom w:color="auto" w:space="10" w:sz="0" w:val="none"/>
        <w:right w:color="auto" w:space="0" w:sz="0" w:val="none"/>
      </w:pBdr>
      <w:spacing w:after="0" w:line="276" w:lineRule="auto"/>
      <w:ind w:firstLine="0"/>
    </w:pPr>
    <w:rPr>
      <w:b w:val="1"/>
      <w:i w:val="1"/>
    </w:rPr>
  </w:style>
  <w:style w:type="paragraph" w:styleId="Heading4">
    <w:name w:val="heading 4"/>
    <w:basedOn w:val="Normal"/>
    <w:next w:val="Normal"/>
    <w:pPr>
      <w:keepNext w:val="1"/>
      <w:keepLines w:val="1"/>
      <w:spacing w:after="240" w:line="276" w:lineRule="auto"/>
      <w:ind w:left="567" w:hanging="567"/>
    </w:pPr>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0" w:line="240" w:lineRule="auto"/>
      <w:ind w:firstLine="30"/>
      <w:jc w:val="center"/>
    </w:pPr>
    <w:rPr>
      <w:rFonts w:ascii="Arial" w:cs="Arial" w:eastAsia="Arial" w:hAnsi="Arial"/>
      <w:b w:val="1"/>
      <w:sz w:val="28"/>
      <w:szCs w:val="2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