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52882B7" w14:textId="77777777" w:rsidR="0006551D" w:rsidRDefault="0006551D">
      <w:pPr>
        <w:widowControl/>
        <w:spacing w:after="0" w:line="480" w:lineRule="auto"/>
        <w:ind w:firstLine="0"/>
        <w:jc w:val="center"/>
        <w:rPr>
          <w:b/>
          <w:bCs/>
        </w:rPr>
      </w:pPr>
    </w:p>
    <w:p w14:paraId="6E2B8051" w14:textId="77777777" w:rsidR="0006551D" w:rsidRDefault="0006551D">
      <w:pPr>
        <w:widowControl/>
        <w:spacing w:after="0" w:line="480" w:lineRule="auto"/>
        <w:ind w:firstLine="0"/>
        <w:jc w:val="center"/>
        <w:rPr>
          <w:b/>
          <w:bCs/>
        </w:rPr>
      </w:pPr>
    </w:p>
    <w:p w14:paraId="15E69B77" w14:textId="77777777" w:rsidR="0006551D" w:rsidRDefault="0006551D">
      <w:pPr>
        <w:widowControl/>
        <w:spacing w:after="0" w:line="480" w:lineRule="auto"/>
        <w:ind w:firstLine="0"/>
        <w:jc w:val="center"/>
        <w:rPr>
          <w:b/>
          <w:bCs/>
        </w:rPr>
      </w:pPr>
    </w:p>
    <w:p w14:paraId="4AE6D742" w14:textId="77777777" w:rsidR="0006551D" w:rsidRDefault="00000000">
      <w:pPr>
        <w:widowControl/>
        <w:spacing w:after="0" w:line="480" w:lineRule="auto"/>
        <w:ind w:firstLine="0"/>
        <w:jc w:val="center"/>
        <w:rPr>
          <w:rFonts w:ascii="Arial" w:eastAsia="Arial" w:hAnsi="Arial" w:cs="Arial"/>
        </w:rPr>
      </w:pPr>
      <w:r>
        <w:rPr>
          <w:rFonts w:ascii="Arial" w:eastAsia="Arial" w:hAnsi="Arial" w:cs="Arial"/>
          <w:b/>
          <w:bCs/>
        </w:rPr>
        <w:t>Review of Disability Studies: An International Journal</w:t>
      </w:r>
    </w:p>
    <w:p w14:paraId="14DCCD34" w14:textId="77777777" w:rsidR="0006551D" w:rsidRDefault="00000000">
      <w:pPr>
        <w:widowControl/>
        <w:spacing w:after="0" w:line="480" w:lineRule="auto"/>
        <w:ind w:firstLine="0"/>
        <w:jc w:val="center"/>
      </w:pPr>
      <w:r>
        <w:rPr>
          <w:i/>
          <w:iCs/>
          <w:sz w:val="22"/>
          <w:szCs w:val="22"/>
        </w:rPr>
        <w:t>Volume 20, Issue 4 (2026)</w:t>
      </w:r>
    </w:p>
    <w:p w14:paraId="75B90FA4" w14:textId="77777777" w:rsidR="0006551D" w:rsidRDefault="0006551D">
      <w:pPr>
        <w:widowControl/>
        <w:spacing w:after="240" w:line="480" w:lineRule="auto"/>
        <w:ind w:firstLine="0"/>
      </w:pPr>
    </w:p>
    <w:p w14:paraId="5799F8EB" w14:textId="77777777" w:rsidR="0006551D" w:rsidRDefault="0006551D">
      <w:pPr>
        <w:widowControl/>
        <w:spacing w:after="120" w:line="480" w:lineRule="auto"/>
        <w:ind w:firstLine="0"/>
        <w:jc w:val="center"/>
        <w:rPr>
          <w:b/>
          <w:bCs/>
          <w:smallCaps/>
        </w:rPr>
      </w:pPr>
    </w:p>
    <w:p w14:paraId="48EF3041" w14:textId="77777777" w:rsidR="0006551D" w:rsidRDefault="00000000">
      <w:pPr>
        <w:widowControl/>
        <w:spacing w:after="120" w:line="480" w:lineRule="auto"/>
        <w:ind w:firstLine="0"/>
        <w:jc w:val="center"/>
      </w:pPr>
      <w:r>
        <w:rPr>
          <w:rFonts w:ascii="Arial" w:eastAsia="Arial" w:hAnsi="Arial" w:cs="Arial"/>
          <w:b/>
          <w:bCs/>
        </w:rPr>
        <w:t>Editorial</w:t>
      </w:r>
    </w:p>
    <w:p w14:paraId="1B1B0223" w14:textId="77777777" w:rsidR="0006551D" w:rsidRDefault="00000000">
      <w:pPr>
        <w:widowControl/>
        <w:spacing w:after="360" w:line="480" w:lineRule="auto"/>
        <w:ind w:firstLine="0"/>
        <w:jc w:val="center"/>
      </w:pPr>
      <w:r>
        <w:rPr>
          <w:b/>
          <w:bCs/>
        </w:rPr>
        <w:t>Our Body to Come</w:t>
      </w:r>
    </w:p>
    <w:p w14:paraId="762DA7FE" w14:textId="77777777" w:rsidR="0006551D" w:rsidRPr="00234432" w:rsidRDefault="00000000">
      <w:pPr>
        <w:widowControl/>
        <w:spacing w:after="0" w:line="480" w:lineRule="auto"/>
        <w:ind w:firstLine="0"/>
        <w:jc w:val="center"/>
      </w:pPr>
      <w:r w:rsidRPr="00234432">
        <w:t>Raphael Raphael</w:t>
      </w:r>
    </w:p>
    <w:p w14:paraId="5092ACB7" w14:textId="77777777" w:rsidR="0006551D" w:rsidRPr="00234432" w:rsidRDefault="00000000">
      <w:pPr>
        <w:widowControl/>
        <w:spacing w:after="480" w:line="480" w:lineRule="auto"/>
        <w:ind w:firstLine="0"/>
        <w:jc w:val="center"/>
      </w:pPr>
      <w:r w:rsidRPr="00234432">
        <w:t>Center on Disability Studies, University of Hawaiʻi at Mānoa</w:t>
      </w:r>
    </w:p>
    <w:p w14:paraId="25F8C279" w14:textId="77777777" w:rsidR="0006551D" w:rsidRDefault="0006551D">
      <w:pPr>
        <w:widowControl/>
        <w:spacing w:before="480" w:after="0" w:line="480" w:lineRule="auto"/>
        <w:ind w:firstLine="0"/>
        <w:jc w:val="center"/>
        <w:rPr>
          <w:b/>
          <w:bCs/>
        </w:rPr>
      </w:pPr>
    </w:p>
    <w:p w14:paraId="53495534" w14:textId="77777777" w:rsidR="0006551D" w:rsidRDefault="00000000">
      <w:pPr>
        <w:widowControl/>
        <w:spacing w:before="480" w:after="0" w:line="480" w:lineRule="auto"/>
        <w:ind w:firstLine="0"/>
        <w:jc w:val="center"/>
      </w:pPr>
      <w:r>
        <w:rPr>
          <w:b/>
          <w:bCs/>
        </w:rPr>
        <w:t>Abstract</w:t>
      </w:r>
    </w:p>
    <w:p w14:paraId="3F567D0A" w14:textId="6FB134A9" w:rsidR="0006551D" w:rsidRDefault="00000000">
      <w:pPr>
        <w:widowControl/>
        <w:spacing w:before="120" w:after="240" w:line="480" w:lineRule="auto"/>
        <w:ind w:firstLine="0"/>
      </w:pPr>
      <w:r>
        <w:t>The editorial for Volume 20, Issue 4 suggests Alice Wong’s quote that people can learn from disabled people’s experiences about the importance of shared vulnerability and interdependence is truer than ever, and it outlines this issue</w:t>
      </w:r>
      <w:r w:rsidR="008737E6">
        <w:t xml:space="preserve">’s </w:t>
      </w:r>
      <w:r>
        <w:t>content. It closes with an invitation to the 41st Annual Pacific Rim International Conference, at the University of Hawaiʻi at Mānoa, May 28–29, 2026.</w:t>
      </w:r>
    </w:p>
    <w:p w14:paraId="7407B79B" w14:textId="77777777" w:rsidR="0006551D" w:rsidRDefault="00000000" w:rsidP="008737E6">
      <w:pPr>
        <w:widowControl/>
        <w:spacing w:after="480" w:line="480" w:lineRule="auto"/>
      </w:pPr>
      <w:r>
        <w:rPr>
          <w:i/>
          <w:iCs/>
        </w:rPr>
        <w:t xml:space="preserve">Keywords: </w:t>
      </w:r>
      <w:r>
        <w:t>disability studies, vulnerability, interdependence, disability justice, Pacific Rim, editorial</w:t>
      </w:r>
    </w:p>
    <w:p w14:paraId="2BC81606" w14:textId="77777777" w:rsidR="00171563" w:rsidRDefault="00171563">
      <w:pPr>
        <w:widowControl/>
        <w:spacing w:before="240" w:after="120" w:line="480" w:lineRule="auto"/>
        <w:ind w:right="720" w:firstLine="0"/>
        <w:jc w:val="center"/>
        <w:rPr>
          <w:b/>
          <w:bCs/>
        </w:rPr>
      </w:pPr>
    </w:p>
    <w:p w14:paraId="79EC8E1E" w14:textId="26C58EAB" w:rsidR="00171563" w:rsidRDefault="00000000" w:rsidP="00171563">
      <w:pPr>
        <w:widowControl/>
        <w:spacing w:before="240" w:after="120" w:line="480" w:lineRule="auto"/>
        <w:ind w:right="720" w:firstLine="0"/>
        <w:jc w:val="center"/>
        <w:rPr>
          <w:b/>
          <w:bCs/>
        </w:rPr>
      </w:pPr>
      <w:r>
        <w:rPr>
          <w:b/>
          <w:bCs/>
        </w:rPr>
        <w:t>Editorial</w:t>
      </w:r>
      <w:r>
        <w:rPr>
          <w:b/>
          <w:bCs/>
        </w:rPr>
        <w:br/>
        <w:t>Our Body to Come</w:t>
      </w:r>
    </w:p>
    <w:p w14:paraId="29E498CF" w14:textId="77777777" w:rsidR="0006551D" w:rsidRDefault="00000000">
      <w:pPr>
        <w:widowControl/>
        <w:spacing w:before="240" w:after="120" w:line="480" w:lineRule="auto"/>
        <w:ind w:left="720" w:right="720"/>
      </w:pPr>
      <w:r>
        <w:rPr>
          <w:i/>
          <w:iCs/>
          <w:sz w:val="22"/>
          <w:szCs w:val="22"/>
        </w:rPr>
        <w:t>“Disabled people know what it means to be vulnerable and interdependent. We are modern-day oracles. It’s time people listened to us.”</w:t>
      </w:r>
    </w:p>
    <w:p w14:paraId="41C7026F" w14:textId="77777777" w:rsidR="0006551D" w:rsidRDefault="00000000">
      <w:pPr>
        <w:widowControl/>
        <w:spacing w:after="480" w:line="480" w:lineRule="auto"/>
        <w:ind w:left="720" w:right="720"/>
      </w:pPr>
      <w:r>
        <w:rPr>
          <w:sz w:val="22"/>
          <w:szCs w:val="22"/>
        </w:rPr>
        <w:t>— Alice Wong (2020, p. [X])</w:t>
      </w:r>
    </w:p>
    <w:p w14:paraId="0AB52FDF" w14:textId="77777777" w:rsidR="0006551D" w:rsidRDefault="00000000">
      <w:pPr>
        <w:widowControl/>
        <w:spacing w:after="0" w:line="480" w:lineRule="auto"/>
        <w:jc w:val="both"/>
      </w:pPr>
      <w:r>
        <w:t xml:space="preserve">This is written at a particularly fractured moment. Across our national and global community, many are feeling frightened and increasingly vulnerable — uncertain what is coming, reaching for what once felt solid, some convinced the best is behind them. This feeling of vulnerability across our global bod(ies) is very real. It is not abstract, and it is not evenly distributed. But as Alice Wong suggests, vulnerability and power are not opposites. What we share — exposure, interdependence, risk — may be the beginning of something. It may be where our power begins. This is not optimism. It is simply what the moment requires. In this sense, the future is disabled. The world ahead will depend on the wisdom of vulnerability, interdependence, and adaptation that define disabled experience every day. And perhaps, as Ocean Vuong writes in </w:t>
      </w:r>
      <w:r>
        <w:rPr>
          <w:i/>
          <w:iCs/>
        </w:rPr>
        <w:t>Night Sky with Exit Wounds</w:t>
      </w:r>
      <w:r>
        <w:t xml:space="preserve"> (2016): “the most beautiful part of [our] body is where it’s headed.”</w:t>
      </w:r>
    </w:p>
    <w:p w14:paraId="63FA45CB" w14:textId="5FEB48FB" w:rsidR="0006551D" w:rsidRDefault="00000000">
      <w:pPr>
        <w:widowControl/>
        <w:spacing w:after="0" w:line="480" w:lineRule="auto"/>
        <w:jc w:val="both"/>
      </w:pPr>
      <w:r>
        <w:t xml:space="preserve">The articles in this issue take up these questions from multiple directions. This issue of the </w:t>
      </w:r>
      <w:r>
        <w:rPr>
          <w:i/>
          <w:iCs/>
        </w:rPr>
        <w:t>Review of Disability Studies</w:t>
      </w:r>
      <w:r>
        <w:t xml:space="preserve">, Volume 20, Issue 4 (2026), includes scholarship that spans policy, technology, arts, history, and Indigenous knowledge — a range that itself speaks to the breadth of disability studies today. Sarchet examines the Advanced Special Education Preparation Standards through a Foucauldian lens, asking whose knowledge counts and how </w:t>
      </w:r>
      <w:r>
        <w:lastRenderedPageBreak/>
        <w:t>the language of professional standards shapes the inclusion — or exclusion — of neurodivergent teachers and students alike. Moving from policy to practice, Watanabe and colleagues investigate how assistive technology services adapted during the COVID-19 pandemic in Japan, finding that hybrid in-person and remote models hold real promise for expanding access — and that building specialist capacity for those models is the next necessary step. Bullen shifts our attention to Audio Description, looking beyond questions of script quality to the overlooked barriers of delivery, ambient noise, and listening environment that can quietly lock people out of public cultural life. From access to artmaking, Fritsch explores the particular challenges facing racialized disabled artists in Canada, centering the role of community and activist art in building both visibility and justice.</w:t>
      </w:r>
    </w:p>
    <w:p w14:paraId="1354570A" w14:textId="605BAE75" w:rsidR="0006551D" w:rsidRDefault="00000000" w:rsidP="00171563">
      <w:pPr>
        <w:widowControl/>
        <w:spacing w:after="0" w:line="480" w:lineRule="auto"/>
        <w:jc w:val="both"/>
      </w:pPr>
      <w:r>
        <w:t xml:space="preserve">Widening the lens, Lorenzo-Elarco offers a Native Hawaiian researcher’s reading of </w:t>
      </w:r>
      <w:r>
        <w:rPr>
          <w:i/>
          <w:iCs/>
        </w:rPr>
        <w:t>Indigenous Disability Studies</w:t>
      </w:r>
      <w:r>
        <w:t xml:space="preserve"> (Ward, Ed.), connecting Indigenous frameworks of relationality and cultural continuity with traditional Hawaiian understandings of disability as sacred ability; and Sarkar’s review of </w:t>
      </w:r>
      <w:r>
        <w:rPr>
          <w:i/>
          <w:iCs/>
        </w:rPr>
        <w:t>Disability, Sexuality, and Gender in Asia</w:t>
      </w:r>
      <w:r>
        <w:t xml:space="preserve"> (Zhang et al., 2024) traces how disability, gender, and sexuality intersect across Asia — centering lived experience, collective resistance, and the insistence that the Global South has its own knowledge, its own voice, and its own future to claim.</w:t>
      </w:r>
    </w:p>
    <w:p w14:paraId="1A2B3C4D" w14:textId="0C74A607" w:rsidR="0006551D" w:rsidRDefault="00000000" w:rsidP="00171563">
      <w:pPr>
        <w:widowControl/>
        <w:spacing w:after="0" w:line="480" w:lineRule="auto"/>
        <w:jc w:val="both"/>
      </w:pPr>
      <w:r>
        <w:t xml:space="preserve">Anchoring this issue in history, this issue also features an interview with Scot Danforth, author of </w:t>
      </w:r>
      <w:r>
        <w:rPr>
          <w:i/>
          <w:iCs/>
        </w:rPr>
        <w:t>An Independent Man: Ed Roberts and the Fight for Disability Rights</w:t>
      </w:r>
      <w:r>
        <w:t xml:space="preserve"> (University of California Press, 2025), the first full-length biography of Ed Roberts (1939–1995). </w:t>
      </w:r>
      <w:r w:rsidR="009A6686">
        <w:t>Roberts’</w:t>
      </w:r>
      <w:r>
        <w:t xml:space="preserve"> life as a champion for himself and for others shows how vulnerability, embraced and shared, becomes a force that changes everything. The issue closes with a curated listing of recent dissertations and theses, evidence that the questions asked here continue being carried forward.</w:t>
      </w:r>
    </w:p>
    <w:p w14:paraId="259BC964" w14:textId="77777777" w:rsidR="0006551D" w:rsidRDefault="00000000" w:rsidP="00B52F94">
      <w:pPr>
        <w:widowControl/>
        <w:spacing w:after="0" w:line="480" w:lineRule="auto"/>
        <w:jc w:val="both"/>
      </w:pPr>
      <w:r>
        <w:lastRenderedPageBreak/>
        <w:t xml:space="preserve">A final note and an invitation: For forty years, the Pacific Rim International Conference has been hosted by the Center on Disability Studies at the University of Hawaiʻi at Mānoa. This year, for the first time, the conference comes home — to the campus itself — on May 28 and 29, 2026, under the theme </w:t>
      </w:r>
      <w:r>
        <w:rPr>
          <w:i/>
          <w:iCs/>
        </w:rPr>
        <w:t>Unbreakable Threads: Communities of Resilience and Continuity</w:t>
      </w:r>
      <w:r>
        <w:t>. The conversation about the ways disability may help lead us toward our best possible futures continues there. We hope you will join us.</w:t>
      </w:r>
    </w:p>
    <w:p w14:paraId="6489C1FD" w14:textId="77777777" w:rsidR="0006551D" w:rsidRDefault="0006551D">
      <w:pPr>
        <w:widowControl/>
        <w:spacing w:after="0" w:line="480" w:lineRule="auto"/>
        <w:ind w:firstLine="0"/>
        <w:jc w:val="both"/>
      </w:pPr>
    </w:p>
    <w:p w14:paraId="13E3FDC0" w14:textId="77777777" w:rsidR="0006551D" w:rsidRDefault="0006551D">
      <w:pPr>
        <w:widowControl/>
        <w:spacing w:after="0" w:line="480" w:lineRule="auto"/>
        <w:ind w:firstLine="0"/>
        <w:jc w:val="both"/>
      </w:pPr>
    </w:p>
    <w:p w14:paraId="48789C21" w14:textId="77777777" w:rsidR="00C43509" w:rsidRDefault="00C43509">
      <w:pPr>
        <w:widowControl/>
        <w:spacing w:after="0" w:line="480" w:lineRule="auto"/>
        <w:ind w:firstLine="0"/>
        <w:jc w:val="both"/>
      </w:pPr>
    </w:p>
    <w:p w14:paraId="6B8127BA" w14:textId="77777777" w:rsidR="00C43509" w:rsidRDefault="00C43509">
      <w:pPr>
        <w:widowControl/>
        <w:spacing w:after="0" w:line="480" w:lineRule="auto"/>
        <w:ind w:firstLine="0"/>
        <w:jc w:val="both"/>
      </w:pPr>
    </w:p>
    <w:p w14:paraId="63AF525A" w14:textId="77777777" w:rsidR="00C43509" w:rsidRDefault="00C43509">
      <w:pPr>
        <w:widowControl/>
        <w:spacing w:after="0" w:line="480" w:lineRule="auto"/>
        <w:ind w:firstLine="0"/>
        <w:jc w:val="both"/>
      </w:pPr>
    </w:p>
    <w:p w14:paraId="41E6B411" w14:textId="77777777" w:rsidR="00C43509" w:rsidRDefault="00C43509">
      <w:pPr>
        <w:widowControl/>
        <w:spacing w:after="0" w:line="480" w:lineRule="auto"/>
        <w:ind w:firstLine="0"/>
        <w:jc w:val="both"/>
      </w:pPr>
    </w:p>
    <w:p w14:paraId="157D70E1" w14:textId="77777777" w:rsidR="00C43509" w:rsidRDefault="00C43509">
      <w:pPr>
        <w:widowControl/>
        <w:spacing w:after="0" w:line="480" w:lineRule="auto"/>
        <w:ind w:firstLine="0"/>
        <w:jc w:val="both"/>
      </w:pPr>
    </w:p>
    <w:p w14:paraId="6A9937CC" w14:textId="77777777" w:rsidR="00C43509" w:rsidRDefault="00C43509">
      <w:pPr>
        <w:widowControl/>
        <w:spacing w:after="0" w:line="480" w:lineRule="auto"/>
        <w:ind w:firstLine="0"/>
        <w:jc w:val="both"/>
      </w:pPr>
    </w:p>
    <w:p w14:paraId="4672566C" w14:textId="77777777" w:rsidR="00C43509" w:rsidRDefault="00C43509">
      <w:pPr>
        <w:widowControl/>
        <w:spacing w:after="0" w:line="480" w:lineRule="auto"/>
        <w:ind w:firstLine="0"/>
        <w:jc w:val="both"/>
      </w:pPr>
    </w:p>
    <w:p w14:paraId="25DF64F7" w14:textId="77777777" w:rsidR="00C43509" w:rsidRDefault="00C43509">
      <w:pPr>
        <w:widowControl/>
        <w:spacing w:after="0" w:line="480" w:lineRule="auto"/>
        <w:ind w:firstLine="0"/>
        <w:jc w:val="both"/>
      </w:pPr>
    </w:p>
    <w:p w14:paraId="26F72ED8" w14:textId="77777777" w:rsidR="00C43509" w:rsidRDefault="00C43509">
      <w:pPr>
        <w:widowControl/>
        <w:spacing w:after="0" w:line="480" w:lineRule="auto"/>
        <w:ind w:firstLine="0"/>
        <w:jc w:val="both"/>
      </w:pPr>
    </w:p>
    <w:p w14:paraId="15529BBB" w14:textId="77777777" w:rsidR="00C43509" w:rsidRDefault="00C43509">
      <w:pPr>
        <w:widowControl/>
        <w:spacing w:after="0" w:line="480" w:lineRule="auto"/>
        <w:ind w:firstLine="0"/>
        <w:jc w:val="both"/>
      </w:pPr>
    </w:p>
    <w:p w14:paraId="65D05CFC" w14:textId="77777777" w:rsidR="00C43509" w:rsidRDefault="00C43509">
      <w:pPr>
        <w:widowControl/>
        <w:spacing w:after="0" w:line="480" w:lineRule="auto"/>
        <w:ind w:firstLine="0"/>
        <w:jc w:val="both"/>
      </w:pPr>
    </w:p>
    <w:p w14:paraId="6A679494" w14:textId="77777777" w:rsidR="00C43509" w:rsidRDefault="00C43509">
      <w:pPr>
        <w:widowControl/>
        <w:spacing w:after="0" w:line="480" w:lineRule="auto"/>
        <w:ind w:firstLine="0"/>
        <w:jc w:val="both"/>
      </w:pPr>
    </w:p>
    <w:p w14:paraId="1F4A0840" w14:textId="77777777" w:rsidR="00C43509" w:rsidRDefault="00C43509">
      <w:pPr>
        <w:widowControl/>
        <w:spacing w:after="0" w:line="480" w:lineRule="auto"/>
        <w:ind w:firstLine="0"/>
        <w:jc w:val="both"/>
      </w:pPr>
    </w:p>
    <w:p w14:paraId="757BF641" w14:textId="77777777" w:rsidR="00C43509" w:rsidRDefault="00C43509">
      <w:pPr>
        <w:widowControl/>
        <w:spacing w:after="0" w:line="480" w:lineRule="auto"/>
        <w:ind w:firstLine="0"/>
        <w:jc w:val="both"/>
      </w:pPr>
    </w:p>
    <w:p w14:paraId="1B36234D" w14:textId="77777777" w:rsidR="00C43509" w:rsidRDefault="00C43509">
      <w:pPr>
        <w:widowControl/>
        <w:spacing w:after="0" w:line="480" w:lineRule="auto"/>
        <w:ind w:firstLine="0"/>
        <w:jc w:val="both"/>
      </w:pPr>
    </w:p>
    <w:p w14:paraId="018BAC56" w14:textId="77777777" w:rsidR="00C43509" w:rsidRDefault="00C43509">
      <w:pPr>
        <w:widowControl/>
        <w:spacing w:after="0" w:line="480" w:lineRule="auto"/>
        <w:ind w:firstLine="0"/>
        <w:jc w:val="both"/>
      </w:pPr>
    </w:p>
    <w:p w14:paraId="6946C40A" w14:textId="77777777" w:rsidR="00C43509" w:rsidRDefault="00C43509">
      <w:pPr>
        <w:widowControl/>
        <w:spacing w:after="0" w:line="480" w:lineRule="auto"/>
        <w:ind w:firstLine="0"/>
        <w:jc w:val="both"/>
      </w:pPr>
    </w:p>
    <w:p w14:paraId="2C8A6560" w14:textId="77777777" w:rsidR="0006551D" w:rsidRDefault="00000000">
      <w:pPr>
        <w:widowControl/>
        <w:spacing w:after="0" w:line="480" w:lineRule="auto"/>
        <w:ind w:firstLine="0"/>
        <w:jc w:val="center"/>
      </w:pPr>
      <w:r>
        <w:rPr>
          <w:b/>
          <w:bCs/>
        </w:rPr>
        <w:t>References</w:t>
      </w:r>
    </w:p>
    <w:p w14:paraId="545FD74F" w14:textId="77777777" w:rsidR="0006551D" w:rsidRDefault="00000000">
      <w:pPr>
        <w:widowControl/>
        <w:spacing w:after="120" w:line="480" w:lineRule="auto"/>
        <w:ind w:left="720" w:hanging="720"/>
      </w:pPr>
      <w:r>
        <w:t xml:space="preserve">Vuong, O. (2016). </w:t>
      </w:r>
      <w:r>
        <w:rPr>
          <w:i/>
          <w:iCs/>
        </w:rPr>
        <w:t>Night sky with exit wounds</w:t>
      </w:r>
      <w:r>
        <w:t>. Copper Canyon Press.</w:t>
      </w:r>
    </w:p>
    <w:p w14:paraId="7BD3DDD1" w14:textId="572D2233" w:rsidR="0006551D" w:rsidRDefault="00000000">
      <w:pPr>
        <w:widowControl/>
        <w:spacing w:after="120" w:line="480" w:lineRule="auto"/>
        <w:ind w:left="720" w:hanging="720"/>
        <w:rPr>
          <w:b/>
          <w:bCs/>
        </w:rPr>
      </w:pPr>
      <w:r>
        <w:t xml:space="preserve">Wong, A. (Ed.). (2020). </w:t>
      </w:r>
      <w:r>
        <w:rPr>
          <w:i/>
          <w:iCs/>
        </w:rPr>
        <w:t>Disability visibility: First-person stories from the twenty-first century</w:t>
      </w:r>
      <w:r>
        <w:t>. Vintage Books</w:t>
      </w:r>
      <w:r w:rsidR="00A22A8E">
        <w:t>.</w:t>
      </w:r>
    </w:p>
    <w:p w14:paraId="09F19F41" w14:textId="77777777" w:rsidR="0006551D" w:rsidRDefault="0006551D">
      <w:pPr>
        <w:spacing w:line="480" w:lineRule="auto"/>
        <w:ind w:firstLine="0"/>
      </w:pPr>
    </w:p>
    <w:p w14:paraId="15772B8D" w14:textId="016FC98A" w:rsidR="0006551D" w:rsidRPr="00B52F94" w:rsidRDefault="00000000">
      <w:pPr>
        <w:pStyle w:val="Heading1"/>
        <w:jc w:val="left"/>
        <w:rPr>
          <w:b w:val="0"/>
          <w:bCs w:val="0"/>
        </w:rPr>
      </w:pPr>
      <w:r>
        <w:rPr>
          <w:noProof/>
          <w:color w:val="000000"/>
        </w:rPr>
        <w:drawing>
          <wp:inline distT="0" distB="0" distL="0" distR="0" wp14:anchorId="17CE76C6" wp14:editId="66AF4665">
            <wp:extent cx="1016000" cy="18605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1" name="image1.png" descr="Creative Commons CC:BY logo"/>
                    <pic:cNvPicPr preferRelativeResize="0"/>
                  </pic:nvPicPr>
                  <pic:blipFill>
                    <a:blip r:embed="rId7"/>
                    <a:srcRect/>
                    <a:stretch>
                      <a:fillRect/>
                    </a:stretch>
                  </pic:blipFill>
                  <pic:spPr>
                    <a:xfrm>
                      <a:off x="0" y="0"/>
                      <a:ext cx="1016000" cy="186055"/>
                    </a:xfrm>
                    <a:prstGeom prst="rect">
                      <a:avLst/>
                    </a:prstGeom>
                    <a:ln/>
                  </pic:spPr>
                </pic:pic>
              </a:graphicData>
            </a:graphic>
          </wp:inline>
        </w:drawing>
      </w:r>
      <w:r>
        <w:rPr>
          <w:color w:val="000000"/>
        </w:rPr>
        <w:t xml:space="preserve"> </w:t>
      </w:r>
      <w:r>
        <w:rPr>
          <w:color w:val="000000" w:themeColor="text1"/>
          <w:highlight w:val="white"/>
        </w:rPr>
        <w:t>Volume 20 Issue 4 Editorial</w:t>
      </w:r>
      <w:r>
        <w:rPr>
          <w:b w:val="0"/>
          <w:bCs w:val="0"/>
          <w:color w:val="000000" w:themeColor="text1"/>
          <w:highlight w:val="white"/>
        </w:rPr>
        <w:t xml:space="preserve"> </w:t>
      </w:r>
      <w:r>
        <w:rPr>
          <w:b w:val="0"/>
          <w:bCs w:val="0"/>
          <w:color w:val="000000" w:themeColor="text1"/>
        </w:rPr>
        <w:t xml:space="preserve">by Raphael Raphael </w:t>
      </w:r>
      <w:hyperlink r:id="rId8" w:history="1">
        <w:r w:rsidR="008737E6" w:rsidRPr="001223A3">
          <w:rPr>
            <w:rStyle w:val="Hyperlink"/>
            <w:b w:val="0"/>
            <w:bCs w:val="0"/>
          </w:rPr>
          <w:t>https://rdsjournal.org/index.php/journal/article/view/1465</w:t>
        </w:r>
      </w:hyperlink>
      <w:r w:rsidR="008737E6">
        <w:rPr>
          <w:b w:val="0"/>
          <w:bCs w:val="0"/>
          <w:color w:val="000000" w:themeColor="text1"/>
        </w:rPr>
        <w:t xml:space="preserve"> </w:t>
      </w:r>
      <w:r>
        <w:rPr>
          <w:b w:val="0"/>
          <w:bCs w:val="0"/>
        </w:rPr>
        <w:t>is licensed under a</w:t>
      </w:r>
      <w:hyperlink r:id="rId9">
        <w:r>
          <w:rPr>
            <w:b w:val="0"/>
            <w:bCs w:val="0"/>
            <w:u w:val="single"/>
          </w:rPr>
          <w:t xml:space="preserve"> </w:t>
        </w:r>
      </w:hyperlink>
      <w:hyperlink r:id="rId10">
        <w:r>
          <w:rPr>
            <w:b w:val="0"/>
            <w:bCs w:val="0"/>
            <w:u w:val="single"/>
          </w:rPr>
          <w:t>Creative Commons Attribution 4.0 International License</w:t>
        </w:r>
      </w:hyperlink>
      <w:r>
        <w:rPr>
          <w:b w:val="0"/>
          <w:bCs w:val="0"/>
          <w:color w:val="0000FF"/>
        </w:rPr>
        <w:t xml:space="preserve"> </w:t>
      </w:r>
      <w:r>
        <w:rPr>
          <w:b w:val="0"/>
          <w:bCs w:val="0"/>
          <w:color w:val="000000"/>
        </w:rPr>
        <w:t xml:space="preserve">based on a work at </w:t>
      </w:r>
      <w:hyperlink r:id="rId11">
        <w:r>
          <w:rPr>
            <w:b w:val="0"/>
            <w:bCs w:val="0"/>
            <w:color w:val="0000FF"/>
            <w:u w:val="single"/>
          </w:rPr>
          <w:t>https://rdsjournal.org</w:t>
        </w:r>
      </w:hyperlink>
      <w:r>
        <w:rPr>
          <w:b w:val="0"/>
          <w:bCs w:val="0"/>
          <w:color w:val="000000"/>
        </w:rPr>
        <w:t>.</w:t>
      </w:r>
    </w:p>
    <w:p w14:paraId="58474C6B" w14:textId="77777777" w:rsidR="004B487C" w:rsidRDefault="004B487C">
      <w:pPr>
        <w:spacing w:after="0" w:line="480" w:lineRule="auto"/>
        <w:ind w:firstLine="0"/>
        <w:jc w:val="center"/>
        <w:rPr>
          <w:b/>
          <w:bCs/>
        </w:rPr>
      </w:pPr>
    </w:p>
    <w:p w14:paraId="424B811C" w14:textId="77777777" w:rsidR="004B487C" w:rsidRDefault="004B487C">
      <w:pPr>
        <w:spacing w:after="0" w:line="480" w:lineRule="auto"/>
        <w:ind w:firstLine="0"/>
        <w:jc w:val="center"/>
        <w:rPr>
          <w:b/>
          <w:bCs/>
        </w:rPr>
      </w:pPr>
    </w:p>
    <w:p w14:paraId="65A4D9A6" w14:textId="77777777" w:rsidR="004B487C" w:rsidRDefault="004B487C">
      <w:pPr>
        <w:spacing w:after="0" w:line="480" w:lineRule="auto"/>
        <w:ind w:firstLine="0"/>
        <w:jc w:val="center"/>
        <w:rPr>
          <w:b/>
          <w:bCs/>
        </w:rPr>
      </w:pPr>
    </w:p>
    <w:p w14:paraId="35195082" w14:textId="77777777" w:rsidR="00833A20" w:rsidRDefault="00833A20">
      <w:pPr>
        <w:spacing w:after="0" w:line="480" w:lineRule="auto"/>
        <w:ind w:firstLine="0"/>
        <w:jc w:val="center"/>
        <w:rPr>
          <w:b/>
          <w:bCs/>
        </w:rPr>
      </w:pPr>
    </w:p>
    <w:p w14:paraId="517084F6" w14:textId="77777777" w:rsidR="00833A20" w:rsidRDefault="00833A20">
      <w:pPr>
        <w:spacing w:after="0" w:line="480" w:lineRule="auto"/>
        <w:ind w:firstLine="0"/>
        <w:jc w:val="center"/>
        <w:rPr>
          <w:b/>
          <w:bCs/>
        </w:rPr>
      </w:pPr>
    </w:p>
    <w:p w14:paraId="5E27EA42" w14:textId="77777777" w:rsidR="00833A20" w:rsidRDefault="00833A20">
      <w:pPr>
        <w:spacing w:after="0" w:line="480" w:lineRule="auto"/>
        <w:ind w:firstLine="0"/>
        <w:jc w:val="center"/>
        <w:rPr>
          <w:b/>
          <w:bCs/>
        </w:rPr>
      </w:pPr>
    </w:p>
    <w:p w14:paraId="4F7B50BE" w14:textId="77777777" w:rsidR="00833A20" w:rsidRDefault="00833A20">
      <w:pPr>
        <w:spacing w:after="0" w:line="480" w:lineRule="auto"/>
        <w:ind w:firstLine="0"/>
        <w:jc w:val="center"/>
        <w:rPr>
          <w:b/>
          <w:bCs/>
        </w:rPr>
      </w:pPr>
    </w:p>
    <w:p w14:paraId="3C4A34F3" w14:textId="77777777" w:rsidR="00833A20" w:rsidRDefault="00833A20">
      <w:pPr>
        <w:spacing w:after="0" w:line="480" w:lineRule="auto"/>
        <w:ind w:firstLine="0"/>
        <w:jc w:val="center"/>
        <w:rPr>
          <w:b/>
          <w:bCs/>
        </w:rPr>
      </w:pPr>
    </w:p>
    <w:p w14:paraId="376530AF" w14:textId="77777777" w:rsidR="00833A20" w:rsidRDefault="00833A20">
      <w:pPr>
        <w:spacing w:after="0" w:line="480" w:lineRule="auto"/>
        <w:ind w:firstLine="0"/>
        <w:jc w:val="center"/>
        <w:rPr>
          <w:b/>
          <w:bCs/>
        </w:rPr>
      </w:pPr>
    </w:p>
    <w:p w14:paraId="44C4908E" w14:textId="77777777" w:rsidR="00833A20" w:rsidRDefault="00833A20">
      <w:pPr>
        <w:spacing w:after="0" w:line="480" w:lineRule="auto"/>
        <w:ind w:firstLine="0"/>
        <w:jc w:val="center"/>
        <w:rPr>
          <w:b/>
          <w:bCs/>
        </w:rPr>
      </w:pPr>
    </w:p>
    <w:p w14:paraId="143F1213" w14:textId="77777777" w:rsidR="00833A20" w:rsidRDefault="00833A20">
      <w:pPr>
        <w:spacing w:after="0" w:line="480" w:lineRule="auto"/>
        <w:ind w:firstLine="0"/>
        <w:jc w:val="center"/>
        <w:rPr>
          <w:b/>
          <w:bCs/>
        </w:rPr>
      </w:pPr>
    </w:p>
    <w:p w14:paraId="2346EE2E" w14:textId="77777777" w:rsidR="00833A20" w:rsidRDefault="00833A20">
      <w:pPr>
        <w:spacing w:after="0" w:line="480" w:lineRule="auto"/>
        <w:ind w:firstLine="0"/>
        <w:jc w:val="center"/>
        <w:rPr>
          <w:b/>
          <w:bCs/>
        </w:rPr>
      </w:pPr>
    </w:p>
    <w:p w14:paraId="7C937452" w14:textId="77777777" w:rsidR="00833A20" w:rsidRDefault="00833A20">
      <w:pPr>
        <w:spacing w:after="0" w:line="480" w:lineRule="auto"/>
        <w:ind w:firstLine="0"/>
        <w:jc w:val="center"/>
        <w:rPr>
          <w:b/>
          <w:bCs/>
        </w:rPr>
      </w:pPr>
    </w:p>
    <w:p w14:paraId="6CB979FC" w14:textId="77777777" w:rsidR="00833A20" w:rsidRDefault="00833A20">
      <w:pPr>
        <w:spacing w:after="0" w:line="480" w:lineRule="auto"/>
        <w:ind w:firstLine="0"/>
        <w:jc w:val="center"/>
        <w:rPr>
          <w:b/>
          <w:bCs/>
        </w:rPr>
      </w:pPr>
    </w:p>
    <w:p w14:paraId="148ABD14" w14:textId="77777777" w:rsidR="00833A20" w:rsidRDefault="00833A20">
      <w:pPr>
        <w:spacing w:after="0" w:line="480" w:lineRule="auto"/>
        <w:ind w:firstLine="0"/>
        <w:jc w:val="center"/>
        <w:rPr>
          <w:b/>
          <w:bCs/>
        </w:rPr>
      </w:pPr>
    </w:p>
    <w:p w14:paraId="55393FC6" w14:textId="77777777" w:rsidR="00833A20" w:rsidRDefault="00833A20">
      <w:pPr>
        <w:spacing w:after="0" w:line="480" w:lineRule="auto"/>
        <w:ind w:firstLine="0"/>
        <w:jc w:val="center"/>
        <w:rPr>
          <w:b/>
          <w:bCs/>
        </w:rPr>
      </w:pPr>
    </w:p>
    <w:p w14:paraId="003EA447" w14:textId="77777777" w:rsidR="004B487C" w:rsidRDefault="00000000">
      <w:pPr>
        <w:pStyle w:val="Title"/>
        <w:spacing w:after="0" w:line="480" w:lineRule="auto"/>
      </w:pPr>
      <w:bookmarkStart w:id="0" w:name="_jwn6rjvrub23" w:colFirst="0" w:colLast="0"/>
      <w:bookmarkEnd w:id="0"/>
      <w:r>
        <w:t>Research Articles and Essays</w:t>
      </w:r>
    </w:p>
    <w:p w14:paraId="7E30EBA4" w14:textId="77777777" w:rsidR="004B487C" w:rsidRDefault="004B487C">
      <w:pPr>
        <w:spacing w:after="0" w:line="480" w:lineRule="auto"/>
        <w:ind w:firstLine="0"/>
        <w:jc w:val="center"/>
        <w:rPr>
          <w:b/>
          <w:bCs/>
          <w:sz w:val="26"/>
          <w:szCs w:val="26"/>
        </w:rPr>
      </w:pPr>
    </w:p>
    <w:p w14:paraId="35CCE718" w14:textId="77777777" w:rsidR="004B487C" w:rsidRDefault="004B487C">
      <w:pPr>
        <w:spacing w:after="0" w:line="480" w:lineRule="auto"/>
        <w:ind w:firstLine="0"/>
        <w:jc w:val="center"/>
        <w:rPr>
          <w:b/>
          <w:bCs/>
        </w:rPr>
      </w:pPr>
    </w:p>
    <w:p w14:paraId="10CA56D1" w14:textId="77777777" w:rsidR="004B487C" w:rsidRDefault="00000000">
      <w:pPr>
        <w:spacing w:after="0" w:line="480" w:lineRule="auto"/>
        <w:ind w:firstLine="0"/>
        <w:jc w:val="center"/>
        <w:rPr>
          <w:b/>
          <w:bCs/>
        </w:rPr>
      </w:pPr>
      <w:r>
        <w:rPr>
          <w:b/>
          <w:bCs/>
        </w:rPr>
        <w:t>A Genealogy of the Council for Exceptional Children Advanced Special Education Preparation Standards</w:t>
      </w:r>
    </w:p>
    <w:p w14:paraId="3D715443" w14:textId="77777777" w:rsidR="004B487C" w:rsidRDefault="004B487C">
      <w:pPr>
        <w:spacing w:after="0" w:line="480" w:lineRule="auto"/>
        <w:ind w:firstLine="0"/>
        <w:jc w:val="center"/>
        <w:rPr>
          <w:b/>
          <w:bCs/>
        </w:rPr>
      </w:pPr>
    </w:p>
    <w:p w14:paraId="3FBA5AFE" w14:textId="77777777" w:rsidR="004B487C" w:rsidRDefault="004B487C">
      <w:pPr>
        <w:spacing w:after="0" w:line="480" w:lineRule="auto"/>
        <w:ind w:firstLine="0"/>
        <w:jc w:val="center"/>
        <w:rPr>
          <w:b/>
          <w:bCs/>
        </w:rPr>
      </w:pPr>
    </w:p>
    <w:p w14:paraId="6B419524" w14:textId="05307AE7" w:rsidR="004B487C" w:rsidRDefault="00000000">
      <w:pPr>
        <w:spacing w:after="0" w:line="480" w:lineRule="auto"/>
        <w:ind w:firstLine="0"/>
        <w:jc w:val="center"/>
      </w:pPr>
      <w:r>
        <w:t xml:space="preserve">Laura N. </w:t>
      </w:r>
      <w:proofErr w:type="spellStart"/>
      <w:r>
        <w:t>Sarchet</w:t>
      </w:r>
      <w:proofErr w:type="spellEnd"/>
    </w:p>
    <w:p w14:paraId="4E03823C" w14:textId="2FE796BB" w:rsidR="004B487C" w:rsidRDefault="00000000">
      <w:pPr>
        <w:spacing w:after="0" w:line="480" w:lineRule="auto"/>
        <w:ind w:firstLine="0"/>
        <w:jc w:val="center"/>
      </w:pPr>
      <w:r>
        <w:t xml:space="preserve">College of </w:t>
      </w:r>
      <w:proofErr w:type="gramStart"/>
      <w:r>
        <w:t xml:space="preserve">Education, </w:t>
      </w:r>
      <w:r>
        <w:rPr>
          <w:vertAlign w:val="superscript"/>
        </w:rPr>
        <w:t xml:space="preserve"> </w:t>
      </w:r>
      <w:r>
        <w:t>Niagara</w:t>
      </w:r>
      <w:proofErr w:type="gramEnd"/>
      <w:r>
        <w:t xml:space="preserve"> University </w:t>
      </w:r>
    </w:p>
    <w:p w14:paraId="77A810E2" w14:textId="77777777" w:rsidR="004B487C" w:rsidRDefault="004B487C">
      <w:pPr>
        <w:spacing w:after="0" w:line="480" w:lineRule="auto"/>
        <w:ind w:firstLine="0"/>
        <w:jc w:val="center"/>
        <w:rPr>
          <w:b/>
          <w:bCs/>
        </w:rPr>
      </w:pPr>
    </w:p>
    <w:p w14:paraId="059CAD2F" w14:textId="77777777" w:rsidR="004B487C" w:rsidRDefault="004B487C">
      <w:pPr>
        <w:spacing w:after="0" w:line="480" w:lineRule="auto"/>
        <w:ind w:firstLine="0"/>
        <w:jc w:val="center"/>
        <w:rPr>
          <w:b/>
          <w:bCs/>
        </w:rPr>
      </w:pPr>
    </w:p>
    <w:p w14:paraId="66AC99F2" w14:textId="77777777" w:rsidR="004B487C" w:rsidRDefault="004B487C">
      <w:pPr>
        <w:spacing w:after="0" w:line="480" w:lineRule="auto"/>
        <w:ind w:firstLine="0"/>
        <w:jc w:val="center"/>
        <w:rPr>
          <w:b/>
          <w:bCs/>
        </w:rPr>
      </w:pPr>
    </w:p>
    <w:p w14:paraId="069AC9C3" w14:textId="77777777" w:rsidR="004B487C" w:rsidRDefault="004B487C">
      <w:pPr>
        <w:spacing w:after="0" w:line="480" w:lineRule="auto"/>
        <w:ind w:firstLine="0"/>
        <w:jc w:val="center"/>
        <w:rPr>
          <w:b/>
          <w:bCs/>
        </w:rPr>
      </w:pPr>
    </w:p>
    <w:p w14:paraId="7B3AE014" w14:textId="77777777" w:rsidR="004B487C" w:rsidRDefault="004B487C">
      <w:pPr>
        <w:spacing w:after="0" w:line="480" w:lineRule="auto"/>
        <w:ind w:firstLine="0"/>
        <w:jc w:val="center"/>
        <w:rPr>
          <w:b/>
          <w:bCs/>
        </w:rPr>
      </w:pPr>
    </w:p>
    <w:p w14:paraId="1CB35FD8" w14:textId="77777777" w:rsidR="004B487C" w:rsidRDefault="004B487C">
      <w:pPr>
        <w:spacing w:after="0" w:line="480" w:lineRule="auto"/>
        <w:ind w:firstLine="0"/>
        <w:jc w:val="center"/>
        <w:rPr>
          <w:b/>
          <w:bCs/>
        </w:rPr>
      </w:pPr>
    </w:p>
    <w:p w14:paraId="2870AF9F" w14:textId="77777777" w:rsidR="004B487C" w:rsidRDefault="004B487C">
      <w:pPr>
        <w:spacing w:after="0" w:line="480" w:lineRule="auto"/>
        <w:ind w:firstLine="0"/>
        <w:jc w:val="center"/>
        <w:rPr>
          <w:b/>
          <w:bCs/>
        </w:rPr>
      </w:pPr>
    </w:p>
    <w:p w14:paraId="060E2B8D" w14:textId="77777777" w:rsidR="004B487C" w:rsidRDefault="00000000">
      <w:pPr>
        <w:spacing w:after="0" w:line="480" w:lineRule="auto"/>
        <w:ind w:firstLine="0"/>
        <w:jc w:val="center"/>
        <w:rPr>
          <w:b/>
          <w:bCs/>
        </w:rPr>
      </w:pPr>
      <w:r>
        <w:rPr>
          <w:b/>
          <w:bCs/>
        </w:rPr>
        <w:t>Author Note</w:t>
      </w:r>
    </w:p>
    <w:p w14:paraId="68A969F5" w14:textId="77777777" w:rsidR="004B487C" w:rsidRDefault="00000000">
      <w:pPr>
        <w:spacing w:after="0" w:line="480" w:lineRule="auto"/>
        <w:rPr>
          <w:highlight w:val="yellow"/>
        </w:rPr>
      </w:pPr>
      <w:r>
        <w:t xml:space="preserve">Laura N. </w:t>
      </w:r>
      <w:proofErr w:type="spellStart"/>
      <w:r>
        <w:t>Sarchet</w:t>
      </w:r>
      <w:proofErr w:type="spellEnd"/>
      <w:r>
        <w:t>,</w:t>
      </w:r>
      <w:hyperlink r:id="rId12">
        <w:r>
          <w:t xml:space="preserve"> </w:t>
        </w:r>
      </w:hyperlink>
      <w:hyperlink r:id="rId13">
        <w:r>
          <w:rPr>
            <w:color w:val="0563C1"/>
            <w:u w:val="single"/>
          </w:rPr>
          <w:t>https://orcid.org/0000-0001-6508-0679</w:t>
        </w:r>
      </w:hyperlink>
      <w:r>
        <w:t xml:space="preserve">, </w:t>
      </w:r>
    </w:p>
    <w:p w14:paraId="4652BC83" w14:textId="77777777" w:rsidR="004B487C" w:rsidRDefault="00000000">
      <w:pPr>
        <w:spacing w:after="0" w:line="480" w:lineRule="auto"/>
        <w:ind w:firstLine="0"/>
      </w:pPr>
      <w:r>
        <w:t>The author has no conflict of interest to disclose.</w:t>
      </w:r>
    </w:p>
    <w:p w14:paraId="6F16C5A1" w14:textId="77777777" w:rsidR="004B487C" w:rsidRDefault="00000000">
      <w:pPr>
        <w:spacing w:after="0" w:line="480" w:lineRule="auto"/>
        <w:ind w:firstLine="0"/>
        <w:rPr>
          <w:b/>
          <w:bCs/>
        </w:rPr>
      </w:pPr>
      <w:r>
        <w:t xml:space="preserve">Correspondence concerning this article should be addressed to Laura N. </w:t>
      </w:r>
      <w:proofErr w:type="spellStart"/>
      <w:r>
        <w:t>Sarchet</w:t>
      </w:r>
      <w:proofErr w:type="spellEnd"/>
      <w:r>
        <w:t xml:space="preserve">, </w:t>
      </w:r>
      <w:hyperlink r:id="rId14">
        <w:r>
          <w:rPr>
            <w:color w:val="1155CC"/>
            <w:u w:val="single"/>
          </w:rPr>
          <w:t>lsarchet@niagara.edu</w:t>
        </w:r>
      </w:hyperlink>
      <w:r>
        <w:t xml:space="preserve"> </w:t>
      </w:r>
      <w:r>
        <w:br w:type="page"/>
      </w:r>
    </w:p>
    <w:p w14:paraId="57A89BBC" w14:textId="77777777" w:rsidR="004B487C" w:rsidRDefault="00000000">
      <w:pPr>
        <w:spacing w:after="0" w:line="480" w:lineRule="auto"/>
        <w:ind w:firstLine="0"/>
        <w:jc w:val="center"/>
        <w:rPr>
          <w:b/>
          <w:bCs/>
        </w:rPr>
      </w:pPr>
      <w:r>
        <w:rPr>
          <w:b/>
          <w:bCs/>
        </w:rPr>
        <w:lastRenderedPageBreak/>
        <w:t>Abstract</w:t>
      </w:r>
    </w:p>
    <w:p w14:paraId="7A6B6ADD" w14:textId="77777777" w:rsidR="004B487C" w:rsidRDefault="00000000" w:rsidP="008938D0">
      <w:pPr>
        <w:spacing w:after="0" w:line="480" w:lineRule="auto"/>
        <w:ind w:firstLine="0"/>
      </w:pPr>
      <w:r>
        <w:t xml:space="preserve">A qualitative genealogy of the Council for Exceptional Children (CEC) Advanced Special Education Preparation Standards seeks to answer the following research questions: </w:t>
      </w:r>
      <w:r>
        <w:rPr>
          <w:i/>
          <w:iCs/>
        </w:rPr>
        <w:t>How do the CEC Advanced Special Education Preparation Standards negotiate the inclusion of neurodivergent teacher candidates?</w:t>
      </w:r>
      <w:r>
        <w:t xml:space="preserve"> And </w:t>
      </w:r>
      <w:r>
        <w:rPr>
          <w:i/>
          <w:iCs/>
        </w:rPr>
        <w:t>what is the role of the student with disabilities in schooling, according to the CEC Advanced Special Education Preparation Standards?</w:t>
      </w:r>
      <w:r>
        <w:t xml:space="preserve"> By comparing the language of the Standards to three of Foucault’s techniques of power.</w:t>
      </w:r>
    </w:p>
    <w:p w14:paraId="05EF8BE3" w14:textId="77777777" w:rsidR="004B487C" w:rsidRDefault="00000000">
      <w:pPr>
        <w:spacing w:after="0" w:line="480" w:lineRule="auto"/>
      </w:pPr>
      <w:r>
        <w:rPr>
          <w:i/>
          <w:iCs/>
        </w:rPr>
        <w:t>Keywords</w:t>
      </w:r>
      <w:r>
        <w:t>: inclusion, neurodiversity, teacher preparation programs</w:t>
      </w:r>
    </w:p>
    <w:p w14:paraId="3BCEEE2F" w14:textId="0FD86347" w:rsidR="004B487C" w:rsidRDefault="00000000" w:rsidP="008938D0">
      <w:pPr>
        <w:spacing w:after="0" w:line="480" w:lineRule="auto"/>
        <w:ind w:firstLine="0"/>
        <w:jc w:val="center"/>
      </w:pPr>
      <w:r>
        <w:br w:type="page"/>
      </w:r>
      <w:r>
        <w:rPr>
          <w:b/>
          <w:bCs/>
        </w:rPr>
        <w:lastRenderedPageBreak/>
        <w:t>A Genealogy of the Council for Exceptional Children Advanced Special Education Preparation Standards</w:t>
      </w:r>
    </w:p>
    <w:p w14:paraId="4149DE48" w14:textId="77777777" w:rsidR="004B487C" w:rsidRDefault="00000000" w:rsidP="008938D0">
      <w:pPr>
        <w:spacing w:after="0" w:line="480" w:lineRule="auto"/>
      </w:pPr>
      <w:r>
        <w:t xml:space="preserve">Teacher preparation programs must adhere to the standards of a designated and recognized organization to be accredited. The Council for Exceptional Children (CEC) Special Education Preparation Standards are one such example of standards for special education teacher preparation programs at higher education institutions in the United States. These Standards were first developed in 1922 by the founders of CEC to align practitioners and organizations working with individuals with disabilities with current best practices and research (CEC, 2021). Supporting both the Americans with Disability Act of 1990 (ADA, 1990) and the Individuals with Disabilities Education Act of 2004 (IDEA, 2004), CEC states on their website that ‘Protecting and supporting the core principles of the Individuals with Disabilities Education Act of 2004’ is one of the organization’s key policy principles (CEC, 2021). The Preparation Standards, along with Ethical Principles and Professional Practice Guidelines, have been updated multiple times since their inaugural development a century ago. There are Preparation Standards for both Gifted and Special Education, each at both Initial and Advanced Certification levels (for new and progressing or master teachers). </w:t>
      </w:r>
    </w:p>
    <w:p w14:paraId="49E14546" w14:textId="77777777" w:rsidR="004B487C" w:rsidRDefault="00000000">
      <w:pPr>
        <w:widowControl/>
        <w:spacing w:after="0" w:line="480" w:lineRule="auto"/>
        <w:ind w:firstLine="0"/>
      </w:pPr>
      <w:r>
        <w:tab/>
        <w:t>Teacher education programs, also called teacher preparation programs, in higher education employ a variety of curricular approaches to readying teacher candidates for jobs in the PK12 teaching field (Kennedy, 2016). These curricula can range from teaching theoretical perspectives, training teachers about specific strategies, or problem-solving real-world conflicts that come up in the classroom, or any combination of these and other methods. Teacher education programs are usually part of a college or school of education that may also include other programs such as school counseling, mental health, psychology, Applied Behavior Analysis, higher education, human development, educational leadership, or policy. </w:t>
      </w:r>
    </w:p>
    <w:p w14:paraId="622B7574" w14:textId="77777777" w:rsidR="004B487C" w:rsidRDefault="00000000">
      <w:pPr>
        <w:widowControl/>
        <w:spacing w:after="0" w:line="480" w:lineRule="auto"/>
      </w:pPr>
      <w:r>
        <w:lastRenderedPageBreak/>
        <w:t xml:space="preserve">In the United States, various states have different requirements for teacher candidates to become certified teachers, which has implications in the design of teacher education programs. In each state, teacher preparations programs are accredited, by an organization approved by the United States Department of Education such as the Council for the Accreditation of Educator Preparation (CAEP) and the Association for Advancing Quality in Educator Preparation (AAQEP), to recommend graduates from their programs to teacher certification in that state. While teacher candidates can become certified through a direct application to the state, university-based teacher education programs are the most common path of pre-service teacher preparation (Grossman &amp; Loeb, 2008). Teacher education programs are categorized by age group taught and/or subject area, and graduating candidates are recommended for the corresponding certificate(s), for which candidates must also complete workshops and certification exams. Examples of programs within teacher education include Early Childhood Education (ages B-2), Childhood Education (grades 1-6), Teaching Students with Disabilities (all grades), Teaching English to Speakers of Other Languages (all grades), Literacy (all grades), and various secondary subjects such as Mathematics, English Language Arts, Social Studies, Physics, Chemistry, Earth Science, Biology (grades 7-12). Teacher education programs can prepare undergraduate and/or graduate students, as well as have programs for initial, professional, and/or advanced certification through the state in the given grade and content area. </w:t>
      </w:r>
    </w:p>
    <w:p w14:paraId="3845D9FA" w14:textId="77777777" w:rsidR="004B487C" w:rsidRDefault="00000000">
      <w:pPr>
        <w:widowControl/>
        <w:spacing w:after="0" w:line="480" w:lineRule="auto"/>
      </w:pPr>
      <w:r>
        <w:t xml:space="preserve">In teacher preparation programs leading to certification in Teaching Students with Disabilities, often known as Special Education Programs, the CEC Standards are an essential part of program development. Student learning outcomes are aligned to CEC standards in course syllabi and program-wide assessments, such as teacher performance assessments. Faculty members use the CEC Standards for curriculum development around teaching </w:t>
      </w:r>
      <w:r>
        <w:lastRenderedPageBreak/>
        <w:t xml:space="preserve">students with disabilities, and programs cite the CEC Standards during the accreditation process. Each set of CEC Standards exists to hold programs accountable for how they are teaching future special educators. </w:t>
      </w:r>
    </w:p>
    <w:p w14:paraId="6AC828CE" w14:textId="77777777" w:rsidR="004B487C" w:rsidRDefault="00000000">
      <w:pPr>
        <w:spacing w:after="0" w:line="480" w:lineRule="auto"/>
      </w:pPr>
      <w:r>
        <w:t xml:space="preserve">Standards are an important part of the explicit and hidden curriculum (Au, 2012), and must be read with a critical eye. Special education continues to reform (even such as the CEC’s revisions of the Preparation Standards) at the PK12 level. In the public community, there is also an increased focus on the inclusion of adults with disabilities in the workforce, including teachers who are disabled and/or neurodivergent. While the CEC Advanced Special Education Preparation Standards were created with the intent of supporting teachers to work with students with disabilities, and the CEC even has a positionality statement upholding educators with disabilities (CEC, 2016), we must examine these Standards to see if they meet their intended goal to support both students and teachers. The purpose of this paper is to use Foucault’s (1975/1984, 1990/1978) genealogical analysis to explore the following research questions: </w:t>
      </w:r>
    </w:p>
    <w:p w14:paraId="1BD250A3" w14:textId="77777777" w:rsidR="004B487C" w:rsidRDefault="00000000">
      <w:pPr>
        <w:numPr>
          <w:ilvl w:val="0"/>
          <w:numId w:val="6"/>
        </w:numPr>
        <w:spacing w:after="0" w:line="480" w:lineRule="auto"/>
        <w:rPr>
          <w:i/>
          <w:iCs/>
        </w:rPr>
      </w:pPr>
      <w:r>
        <w:rPr>
          <w:i/>
          <w:iCs/>
        </w:rPr>
        <w:t xml:space="preserve">How do the CEC Advanced Special Education Preparation Standards negotiate the inclusion of neurodivergent teacher candidates? </w:t>
      </w:r>
    </w:p>
    <w:p w14:paraId="6E6C42F8" w14:textId="77777777" w:rsidR="004B487C" w:rsidRDefault="00000000">
      <w:pPr>
        <w:numPr>
          <w:ilvl w:val="0"/>
          <w:numId w:val="6"/>
        </w:numPr>
        <w:spacing w:after="0" w:line="480" w:lineRule="auto"/>
        <w:rPr>
          <w:i/>
          <w:iCs/>
        </w:rPr>
      </w:pPr>
      <w:r>
        <w:rPr>
          <w:i/>
          <w:iCs/>
        </w:rPr>
        <w:t>What is the role of the student with disabilities in schooling, according to the CEC Advanced Special Education Preparation Standards?</w:t>
      </w:r>
    </w:p>
    <w:p w14:paraId="4A52286B" w14:textId="77777777" w:rsidR="004B487C" w:rsidRDefault="00000000">
      <w:pPr>
        <w:spacing w:after="0" w:line="480" w:lineRule="auto"/>
        <w:ind w:firstLine="0"/>
        <w:rPr>
          <w:b/>
          <w:bCs/>
        </w:rPr>
      </w:pPr>
      <w:r>
        <w:rPr>
          <w:b/>
          <w:bCs/>
        </w:rPr>
        <w:t>Positionality Statement</w:t>
      </w:r>
    </w:p>
    <w:p w14:paraId="4CE5622B" w14:textId="77777777" w:rsidR="004B487C" w:rsidRDefault="00000000">
      <w:pPr>
        <w:spacing w:after="0" w:line="480" w:lineRule="auto"/>
        <w:ind w:firstLine="0"/>
      </w:pPr>
      <w:r>
        <w:tab/>
        <w:t xml:space="preserve">As with much qualitative research, the identity and positionality of the researcher is deeply connected with the research. Therefore, I would like to give helpful context to the research in this paper. I am a white, heterosexual, cisgendered, English-speaking female. I am autistic, and I insist on the inclusion of individuals with disabilities in all parts of society, while acknowledging their unique experiences, challenges, and assets. My experiences as a </w:t>
      </w:r>
      <w:r>
        <w:lastRenderedPageBreak/>
        <w:t xml:space="preserve">special education teacher and an instructor in advanced teacher education programs are lived and practiced through the lens of my autism. I have a unique, detail-oriented perspective and strategic way of thinking about problems. I also face social and sensory challenges every day. I was not diagnosed with autism until after I graduated college, so I did not realize the source of challenges with the social and emotional aspects of school while I was facing them. I </w:t>
      </w:r>
      <w:proofErr w:type="gramStart"/>
      <w:r>
        <w:t>am able to</w:t>
      </w:r>
      <w:proofErr w:type="gramEnd"/>
      <w:r>
        <w:t xml:space="preserve"> share resources with my students, both PK12 and postsecondary or graduate, through first-hand experience. Many hours of self-reflection have propelled me to encourage my students to value their support networks and utilize out-of-the-box resources. I teach my graduate students the benefits of neurodiversity and can share a perspective they may not have encountered before. Even though I am autistic, I only fully know the experience of </w:t>
      </w:r>
      <w:r>
        <w:rPr>
          <w:i/>
          <w:iCs/>
        </w:rPr>
        <w:t xml:space="preserve">one </w:t>
      </w:r>
      <w:r>
        <w:t>person on the autism spectrum. My experiences as a neurodivergent and disabled person make me passionate about inclusion and belonging of individuals with disabilities.</w:t>
      </w:r>
    </w:p>
    <w:p w14:paraId="16F3E889" w14:textId="77777777" w:rsidR="004B487C" w:rsidRDefault="00000000">
      <w:pPr>
        <w:spacing w:after="0" w:line="480" w:lineRule="auto"/>
        <w:ind w:firstLine="0"/>
        <w:jc w:val="center"/>
        <w:rPr>
          <w:b/>
          <w:bCs/>
        </w:rPr>
      </w:pPr>
      <w:r>
        <w:rPr>
          <w:b/>
          <w:bCs/>
        </w:rPr>
        <w:t>Literature Review</w:t>
      </w:r>
    </w:p>
    <w:p w14:paraId="262C8C3D" w14:textId="77777777" w:rsidR="004B487C" w:rsidRDefault="00000000">
      <w:pPr>
        <w:spacing w:after="0" w:line="480" w:lineRule="auto"/>
        <w:ind w:firstLine="0"/>
      </w:pPr>
      <w:r>
        <w:rPr>
          <w:b/>
          <w:bCs/>
        </w:rPr>
        <w:tab/>
      </w:r>
      <w:r>
        <w:t>This article seeks to continue the work of the existing literature on supporting disabled and neurodivergent teacher candidates (</w:t>
      </w:r>
      <w:proofErr w:type="spellStart"/>
      <w:r>
        <w:t>Antilla</w:t>
      </w:r>
      <w:proofErr w:type="spellEnd"/>
      <w:r>
        <w:t xml:space="preserve">-Garza, 2015; Brulle, 2006; Macleod &amp; </w:t>
      </w:r>
      <w:proofErr w:type="spellStart"/>
      <w:r>
        <w:t>Cebula</w:t>
      </w:r>
      <w:proofErr w:type="spellEnd"/>
      <w:r>
        <w:t xml:space="preserve">, 2009; </w:t>
      </w:r>
      <w:proofErr w:type="spellStart"/>
      <w:r>
        <w:t>Sokal</w:t>
      </w:r>
      <w:proofErr w:type="spellEnd"/>
      <w:r>
        <w:t xml:space="preserve"> et al., 2017) and examining ableism in teacher education programs (Keefe, 2022). The existing literature in this area includes both theoretical and empirical papers, which gives a valuable perspective on what ‘could be’ in teacher education programs, as well as exploring the current state of teacher education. For instance, Keefe (2022) explains some of the issues that perpetuate existing ableism in teacher preparation programs, such as curricula steeped in the medical model, reinforcement of ableist language, and gatekeeping of the teaching profession. Keefe suggests that teacher education programs should instead presume competence of their teacher candidates, work to incorporate other models of disability such as the social model in the perspectives, and critically examine the </w:t>
      </w:r>
      <w:r>
        <w:lastRenderedPageBreak/>
        <w:t xml:space="preserve">language used in curricula and course titles. Perouse-Harvey (2022) suggests incorporating critical frameworks, such as </w:t>
      </w:r>
      <w:proofErr w:type="spellStart"/>
      <w:r>
        <w:t>DisCrit</w:t>
      </w:r>
      <w:proofErr w:type="spellEnd"/>
      <w:r>
        <w:t xml:space="preserve"> and Intersectionality, into teacher preparation programs could also help to dismantle ableist practices in teacher education and special education. </w:t>
      </w:r>
    </w:p>
    <w:p w14:paraId="160CCA0B" w14:textId="77777777" w:rsidR="004B487C" w:rsidRDefault="00000000">
      <w:pPr>
        <w:spacing w:after="0" w:line="480" w:lineRule="auto"/>
        <w:ind w:firstLine="0"/>
        <w:jc w:val="center"/>
        <w:rPr>
          <w:b/>
          <w:bCs/>
        </w:rPr>
      </w:pPr>
      <w:r>
        <w:rPr>
          <w:b/>
          <w:bCs/>
        </w:rPr>
        <w:t>Theoretical Framework</w:t>
      </w:r>
    </w:p>
    <w:p w14:paraId="03AFBF39" w14:textId="77777777" w:rsidR="004B487C" w:rsidRDefault="00000000">
      <w:pPr>
        <w:spacing w:after="0" w:line="480" w:lineRule="auto"/>
        <w:ind w:firstLine="0"/>
      </w:pPr>
      <w:r>
        <w:tab/>
        <w:t xml:space="preserve">This research is situated in a constructivist paradigm, in the lens of critical disability theory (Gillies, 2014), the notion of disability being a social construct (Wendell, 1996), and the social model of disability (Jones, 1996; Oliver, 2013). These ideas emphasize the experiences of individuals with disabilities and recognize that ableism constructs environments that exclude or prevent access for those with disabilities or </w:t>
      </w:r>
      <w:proofErr w:type="spellStart"/>
      <w:r>
        <w:t>neurodiversities</w:t>
      </w:r>
      <w:proofErr w:type="spellEnd"/>
      <w:r>
        <w:t>. Au’s (2012) curricular standpoint theory (p. 51) also informs this research because the ‘power relation is socially situated’ (Au, 2012, p. 53) between what I will refer to as constructed or assumed categories of people (Foucault, 1975/1984, 1990/1978). According to Au, the experience of the oppressed must be counted as truer than the experience of the oppressor, which leads to my epistemological and ontological stance: knowledge is both subjective and objective. Knowledge is constructed through lived experiences, and we must listen to the voices of the oppressed or ‘othered’ (in this case, individuals with disabilities) to shape the most objective truth and reality.</w:t>
      </w:r>
    </w:p>
    <w:p w14:paraId="08479C2B" w14:textId="77777777" w:rsidR="004B487C" w:rsidRDefault="00000000">
      <w:pPr>
        <w:widowControl/>
        <w:spacing w:after="0" w:line="480" w:lineRule="auto"/>
      </w:pPr>
      <w:r>
        <w:t xml:space="preserve">Humans are adaptable beings (Weinberg et al., 2021). They </w:t>
      </w:r>
      <w:proofErr w:type="gramStart"/>
      <w:r>
        <w:t>are able to</w:t>
      </w:r>
      <w:proofErr w:type="gramEnd"/>
      <w:r>
        <w:t xml:space="preserve"> adapt to the social environment around them (Ramos et al., 2019; Weinberg et al., 2021). Humans also tend to categorize and create hierarchies of groups of human beings. Because I believe knowledge is constructed through lived experiences, humans construct these categories of each other based on their social experiences and their access to experiences. For example, the category of disability is constructed by the environment. This is an outgrowth of the idea that </w:t>
      </w:r>
      <w:r>
        <w:lastRenderedPageBreak/>
        <w:t>disability is a difference rather than a deficit needing to be fixed (</w:t>
      </w:r>
      <w:proofErr w:type="spellStart"/>
      <w:r>
        <w:t>Naraian</w:t>
      </w:r>
      <w:proofErr w:type="spellEnd"/>
      <w:r>
        <w:t xml:space="preserve"> &amp; </w:t>
      </w:r>
      <w:proofErr w:type="spellStart"/>
      <w:r>
        <w:t>Amrhein</w:t>
      </w:r>
      <w:proofErr w:type="spellEnd"/>
      <w:r>
        <w:t xml:space="preserve">, 2020; Scotch &amp; </w:t>
      </w:r>
      <w:proofErr w:type="spellStart"/>
      <w:r>
        <w:t>Schriner</w:t>
      </w:r>
      <w:proofErr w:type="spellEnd"/>
      <w:r>
        <w:t xml:space="preserve">, 1997). </w:t>
      </w:r>
    </w:p>
    <w:p w14:paraId="3E3EC269" w14:textId="77777777" w:rsidR="004B487C" w:rsidRDefault="00000000">
      <w:pPr>
        <w:widowControl/>
        <w:spacing w:after="0" w:line="480" w:lineRule="auto"/>
      </w:pPr>
      <w:r>
        <w:t>Groups with power over another ‘category’ of humans define norms by which all humans are measured. Foucault (1975/1984, 1990/1978) would argue that power is not ‘over’ but is everywhere, and power is formed through the knowledge of accepted, hegemonic hierarchies. The groups of an accepted lower hierarchy are forced to adapt to the norm of the group with accepted and expected power, rather than vice versa (</w:t>
      </w:r>
      <w:proofErr w:type="spellStart"/>
      <w:r>
        <w:t>Vornholt</w:t>
      </w:r>
      <w:proofErr w:type="spellEnd"/>
      <w:r>
        <w:t xml:space="preserve"> et al., 2021). This is possible because of the techniques of power utilized in institutions and throughout society (Foucault, as cited in Gore, 2001). Power is based on accepted knowledge of the constructs that are developed by humans (Foucault, 1975/1984, 1990/1978), or ‘socially determined categorical difference’ (Au, 2012, p. 54). In the case of disability, neurodivergent individuals and individuals with disabilities must change the way </w:t>
      </w:r>
      <w:r>
        <w:rPr>
          <w:i/>
          <w:iCs/>
        </w:rPr>
        <w:t xml:space="preserve">they </w:t>
      </w:r>
      <w:r>
        <w:t xml:space="preserve">interact with the environment </w:t>
      </w:r>
      <w:proofErr w:type="gramStart"/>
      <w:r>
        <w:t>in order to</w:t>
      </w:r>
      <w:proofErr w:type="gramEnd"/>
      <w:r>
        <w:t xml:space="preserve"> comply and be deemed successful or productive (</w:t>
      </w:r>
      <w:proofErr w:type="spellStart"/>
      <w:r>
        <w:t>Lepofsky</w:t>
      </w:r>
      <w:proofErr w:type="spellEnd"/>
      <w:r>
        <w:t xml:space="preserve">, 2020; </w:t>
      </w:r>
      <w:proofErr w:type="spellStart"/>
      <w:r>
        <w:t>Naraian</w:t>
      </w:r>
      <w:proofErr w:type="spellEnd"/>
      <w:r>
        <w:t xml:space="preserve"> &amp; </w:t>
      </w:r>
      <w:proofErr w:type="spellStart"/>
      <w:r>
        <w:t>Amrhein</w:t>
      </w:r>
      <w:proofErr w:type="spellEnd"/>
      <w:r>
        <w:t xml:space="preserve">, 2020), or they will be excluded (Vazquez et al., 2019; </w:t>
      </w:r>
      <w:proofErr w:type="spellStart"/>
      <w:r>
        <w:t>Vornholt</w:t>
      </w:r>
      <w:proofErr w:type="spellEnd"/>
      <w:r>
        <w:t xml:space="preserve"> et al., 2021). This creates a deficit model in schools, where students who do not fit the defined norms are perceived as ‘less than’ and attempted to be rectified through a variety of interventions, formal and informal (Danforth &amp; </w:t>
      </w:r>
      <w:proofErr w:type="spellStart"/>
      <w:r>
        <w:t>Naraian</w:t>
      </w:r>
      <w:proofErr w:type="spellEnd"/>
      <w:r>
        <w:t xml:space="preserve">, 2015; Jones, 1996; </w:t>
      </w:r>
      <w:proofErr w:type="spellStart"/>
      <w:r>
        <w:t>Naraian</w:t>
      </w:r>
      <w:proofErr w:type="spellEnd"/>
      <w:r>
        <w:t xml:space="preserve"> &amp; </w:t>
      </w:r>
      <w:proofErr w:type="spellStart"/>
      <w:r>
        <w:t>Amrhein</w:t>
      </w:r>
      <w:proofErr w:type="spellEnd"/>
      <w:r>
        <w:t xml:space="preserve">, 2020). </w:t>
      </w:r>
    </w:p>
    <w:p w14:paraId="08B5171B" w14:textId="77777777" w:rsidR="004B487C" w:rsidRDefault="00000000">
      <w:pPr>
        <w:widowControl/>
        <w:spacing w:after="0" w:line="480" w:lineRule="auto"/>
      </w:pPr>
      <w:r>
        <w:t xml:space="preserve">Ideally, neurotypical individuals and individuals without disabilities </w:t>
      </w:r>
      <w:r>
        <w:rPr>
          <w:i/>
          <w:iCs/>
        </w:rPr>
        <w:t xml:space="preserve">could </w:t>
      </w:r>
      <w:r>
        <w:t xml:space="preserve">adapt to be inclusive, but </w:t>
      </w:r>
      <w:proofErr w:type="gramStart"/>
      <w:r>
        <w:t>more often than not</w:t>
      </w:r>
      <w:proofErr w:type="gramEnd"/>
      <w:r>
        <w:t xml:space="preserve"> the case is that the neurodivergent one must do the adapting (Vazquez et al., 2019). Rather than individuals without disabilities collaborating with neurodivergent individuals and people with disabilities to create an accessible, just, and liberating environment where these hierarchies of power become more equalized, neurodivergent individuals must rely on their own self-advocacy skills to seek opportunities for adaptations in each environment in which they exist (Iwanaga et al., 2021; Zhu et al., </w:t>
      </w:r>
      <w:r>
        <w:lastRenderedPageBreak/>
        <w:t>2019). The solution lies in listening to people with disabilities and the neurodivergent to construct a more inclusive environment that allows for the success of all (</w:t>
      </w:r>
      <w:proofErr w:type="spellStart"/>
      <w:r>
        <w:t>Naraian</w:t>
      </w:r>
      <w:proofErr w:type="spellEnd"/>
      <w:r>
        <w:t xml:space="preserve"> &amp; </w:t>
      </w:r>
      <w:proofErr w:type="spellStart"/>
      <w:r>
        <w:t>Amrhein</w:t>
      </w:r>
      <w:proofErr w:type="spellEnd"/>
      <w:r>
        <w:t xml:space="preserve">, 2020; Vazquez et al., 2019). This theory can be applied beyond disability to include listening to people of color, refugees, women, LGBTQ+ communities, and other groups traditionally placed in categories by others exercising power. This aligns with de Alba et al.’s (2000) framework of postmodernism, particularly in the tenets of ‘the cultural construction of subjectivity,’ ‘interdisciplinarity and </w:t>
      </w:r>
      <w:proofErr w:type="spellStart"/>
      <w:r>
        <w:t>multidisciplinarity</w:t>
      </w:r>
      <w:proofErr w:type="spellEnd"/>
      <w:r>
        <w:t xml:space="preserve">,’ and ‘the diagnosis and critique of binarism’ (p. 8). Thankfully, some institutions have supported neurodivergent individuals to build self-advocacy skills (Lee et al., 2021), which is a step toward accessibility, but focus should be placed on interdisciplinary construction of new environments, taking the lead from diverse and neurodivergent individuals. </w:t>
      </w:r>
    </w:p>
    <w:p w14:paraId="26441BEF" w14:textId="77777777" w:rsidR="004B487C" w:rsidRDefault="00000000">
      <w:pPr>
        <w:widowControl/>
        <w:spacing w:after="0" w:line="480" w:lineRule="auto"/>
        <w:rPr>
          <w:b/>
          <w:bCs/>
        </w:rPr>
      </w:pPr>
      <w:r>
        <w:t>This conceptual framework allows us to analyze the language of the 2015 CEC Advanced Preparation Standards to explore who is responsible for adapting to environments and whose knowledge is responsible for constructing the environments themselves.</w:t>
      </w:r>
    </w:p>
    <w:p w14:paraId="1DF07159" w14:textId="77777777" w:rsidR="004B487C" w:rsidRDefault="00000000">
      <w:pPr>
        <w:spacing w:after="0" w:line="480" w:lineRule="auto"/>
        <w:ind w:firstLine="0"/>
        <w:jc w:val="center"/>
        <w:rPr>
          <w:b/>
          <w:bCs/>
        </w:rPr>
      </w:pPr>
      <w:r>
        <w:rPr>
          <w:b/>
          <w:bCs/>
        </w:rPr>
        <w:t>Methodology</w:t>
      </w:r>
    </w:p>
    <w:p w14:paraId="2C392EC9" w14:textId="77777777" w:rsidR="004B487C" w:rsidRDefault="00000000">
      <w:pPr>
        <w:spacing w:after="0" w:line="480" w:lineRule="auto"/>
        <w:ind w:firstLine="0"/>
      </w:pPr>
      <w:r>
        <w:tab/>
        <w:t>When conducting a genealogy of a document, the researcher ‘is to critique the pursuit of origins by showing they are fabrications…’ (</w:t>
      </w:r>
      <w:proofErr w:type="spellStart"/>
      <w:r>
        <w:t>Scheurich</w:t>
      </w:r>
      <w:proofErr w:type="spellEnd"/>
      <w:r>
        <w:t xml:space="preserve"> &amp; McKenzie, 2005). </w:t>
      </w:r>
      <w:proofErr w:type="spellStart"/>
      <w:r>
        <w:t>Scheurich</w:t>
      </w:r>
      <w:proofErr w:type="spellEnd"/>
      <w:r>
        <w:t xml:space="preserve"> and McKenzie discuss how Foucault uses genealogy to explain the knowledge/power dialectic in relationships and institutions to show that there is no origin to the history of a text. Rather, knowledge/power throughout the past, present, and future shape a document. Foucault’s theory of disciplinary power states that power is constructed and upheld through a variety of means: surveillance, normalization, exclusion, classification, distribution, individualization, totalization, and regulation (Gore, 2001). I analyze the language of the 2015 CEC Advanced Preparation Standards using the disciplinary power techniques of normalization, exclusion, </w:t>
      </w:r>
      <w:r>
        <w:lastRenderedPageBreak/>
        <w:t xml:space="preserve">and classification </w:t>
      </w:r>
      <w:proofErr w:type="gramStart"/>
      <w:r>
        <w:t>in order to</w:t>
      </w:r>
      <w:proofErr w:type="gramEnd"/>
      <w:r>
        <w:t xml:space="preserve"> answer the research questions. Normalization requires a defining of a norm or norms (Gore, 2001) and ‘normalizing judgement’ (Foucault, 1975/1984, p. 193). Exclusion means setting boundaries between the normal and the pathological (Gore, 2001). Classification involves the construction of categories and classifications of knowledge, individuals, and groups, and the ranking of these categories (Gore, 2001). The method of genealogy ‘...could be broadly construed as “qualitative” methods, as Foucault always used texts as his data or, what he sometimes called, the archive’ (</w:t>
      </w:r>
      <w:proofErr w:type="spellStart"/>
      <w:r>
        <w:t>Scheurich</w:t>
      </w:r>
      <w:proofErr w:type="spellEnd"/>
      <w:r>
        <w:t xml:space="preserve"> &amp; McKenzie, 2005). I coded the language in the ‘archive’ of the Standards that suggest or represent normalization, exclusion, and classification as techniques of constructing knowledge/power. </w:t>
      </w:r>
    </w:p>
    <w:p w14:paraId="28C4AB7D" w14:textId="77777777" w:rsidR="004B487C" w:rsidRDefault="00000000">
      <w:pPr>
        <w:spacing w:after="0" w:line="480" w:lineRule="auto"/>
        <w:ind w:firstLine="0"/>
        <w:jc w:val="center"/>
      </w:pPr>
      <w:r>
        <w:rPr>
          <w:b/>
          <w:bCs/>
        </w:rPr>
        <w:t>Analysis</w:t>
      </w:r>
    </w:p>
    <w:p w14:paraId="1BF3A56A" w14:textId="77777777" w:rsidR="004B487C" w:rsidRDefault="00000000">
      <w:pPr>
        <w:spacing w:after="0" w:line="480" w:lineRule="auto"/>
      </w:pPr>
      <w:r>
        <w:t xml:space="preserve">The research questions addressed in this article are: </w:t>
      </w:r>
      <w:r>
        <w:rPr>
          <w:i/>
          <w:iCs/>
        </w:rPr>
        <w:t xml:space="preserve">How do the CEC Advanced Special Education Preparation Standards negotiate the inclusion of neurodivergent teacher candidates? </w:t>
      </w:r>
      <w:r>
        <w:t xml:space="preserve">and </w:t>
      </w:r>
      <w:r>
        <w:rPr>
          <w:i/>
          <w:iCs/>
        </w:rPr>
        <w:t>What is the role of the student with disabilities in schooling, according to the CEC Advanced Special Education Preparation Standards?</w:t>
      </w:r>
      <w:r>
        <w:t xml:space="preserve"> I use the power techniques of normalization, exclusion, and classification in institutional settings (Foucault, 1975/1984; Gore, 2001) to answer these questions. Although normalization, exclusion, and classification are intertwined in knowledge/power relationships, I separate the three techniques into sections for the purposes of clear discourse.</w:t>
      </w:r>
    </w:p>
    <w:p w14:paraId="6D1DA687" w14:textId="77777777" w:rsidR="004B487C" w:rsidRDefault="00000000">
      <w:pPr>
        <w:spacing w:after="0" w:line="480" w:lineRule="auto"/>
        <w:ind w:firstLine="0"/>
        <w:rPr>
          <w:b/>
          <w:bCs/>
        </w:rPr>
      </w:pPr>
      <w:r>
        <w:rPr>
          <w:b/>
          <w:bCs/>
        </w:rPr>
        <w:t>Normalization</w:t>
      </w:r>
    </w:p>
    <w:p w14:paraId="258A6CC6" w14:textId="77777777" w:rsidR="004B487C" w:rsidRDefault="00000000">
      <w:pPr>
        <w:spacing w:after="0" w:line="480" w:lineRule="auto"/>
      </w:pPr>
      <w:r>
        <w:t xml:space="preserve">In CEC Advanced Special Education Preparation Standard 2.3, there is mention of continual curricular development: ‘Special education specialists use understanding of diversity and individual learning differences to inform the selection, development, and implementation of comprehensive curricula for individuals with exceptionalities’ (CEC, 2015, Standard 2.3), which implies teachers can challenge the current curriculum. </w:t>
      </w:r>
      <w:r>
        <w:lastRenderedPageBreak/>
        <w:t xml:space="preserve">Interestingly, this way of norming and holding educators accountable utilizes individual difference to ‘inform…comprehensive curricula’ (CEC 2015, Standard 2.3). The disciplinary normalization of disabled students can be resisted through valuing </w:t>
      </w:r>
      <w:proofErr w:type="gramStart"/>
      <w:r>
        <w:t>students</w:t>
      </w:r>
      <w:proofErr w:type="gramEnd"/>
      <w:r>
        <w:t xml:space="preserve"> difference and diversity, which aligns with the critical disability studies view of difference and disability as gain. However, this is embedded in a standard about professionals expanding their knowledge of current curriculum standards (CEC, 2015, Standards 2.0, 2.1, and 2.2); specifically, ‘Special education specialists use their knowledge of general and specialized curricula to improve programs, supports, and services at classroom, school, community, and system levels’ (CEC, 2015, Standard 2.0). Though the purpose is to improve outcomes for disabled students, the ‘knowledge’ to be leveraged is clearly stated as the educator’s knowledge; utilizing disabled student and family knowledge is absent from this Standard. Opportunities for disruption of this normalizing power/knowledge could be for special educators to draw on their students’ expertise, experiences, and understandings to improve programs from classroom to system. </w:t>
      </w:r>
    </w:p>
    <w:p w14:paraId="4A7BB8C7" w14:textId="77777777" w:rsidR="004B487C" w:rsidRDefault="00000000">
      <w:pPr>
        <w:spacing w:after="0" w:line="480" w:lineRule="auto"/>
      </w:pPr>
      <w:r>
        <w:t>Normalization often involves standardization (Gore, 2001), and is exercised as power in this case to promote conformity of teachers, students, and programs. For example, Standard 3.3 states, ‘Special education specialists apply knowledge of theories, evidence-based practices, and relevant laws to advocate for programs, supports, and services for individuals with exceptionalities’ (CEC, 2015, Standard 3.3). Evidence-based practices are often based on evidence from a white/</w:t>
      </w:r>
      <w:proofErr w:type="spellStart"/>
      <w:r>
        <w:t>eurocentric</w:t>
      </w:r>
      <w:proofErr w:type="spellEnd"/>
      <w:r>
        <w:t xml:space="preserve">/ableist perspective of fixing the ‘other’ (Gillies, 2014; Jones, 1996; Oliver, 2013; Wendell, 1996). Evidence-based practices are the ‘norm’ teachers must adhere to, but they are centered not around the student but around the teacher’s ability to uphold the fidelity of the practices. Additionally, theory and law can be used as disciplinary norms, such as we see with disparities in numbers of disabled students of </w:t>
      </w:r>
      <w:r>
        <w:lastRenderedPageBreak/>
        <w:t>color in the school disciplinary system (</w:t>
      </w:r>
      <w:proofErr w:type="spellStart"/>
      <w:r>
        <w:t>Kervick</w:t>
      </w:r>
      <w:proofErr w:type="spellEnd"/>
      <w:r>
        <w:t xml:space="preserve"> et al., 2019; Mahan-Reynolds &amp; Parker, 2016). Yet, theories and laws, just like evidence-based practices, could be used to help teachers gain access and support for their disabled students – a potential resistance to this normalization. </w:t>
      </w:r>
    </w:p>
    <w:p w14:paraId="076C83C3" w14:textId="77777777" w:rsidR="004B487C" w:rsidRDefault="00000000">
      <w:pPr>
        <w:spacing w:after="0" w:line="480" w:lineRule="auto"/>
      </w:pPr>
      <w:r>
        <w:t>Standard 7.0 (CEC, 2015) says, ‘Special education specialists collaborate with stakeholders,’ but does not define who the stakeholders, whom I will refer to as ‘</w:t>
      </w:r>
      <w:proofErr w:type="spellStart"/>
      <w:r>
        <w:t>careholders</w:t>
      </w:r>
      <w:proofErr w:type="spellEnd"/>
      <w:r>
        <w:t xml:space="preserve">,’ are. While the student should be the main </w:t>
      </w:r>
      <w:proofErr w:type="spellStart"/>
      <w:r>
        <w:t>careholder</w:t>
      </w:r>
      <w:proofErr w:type="spellEnd"/>
      <w:r>
        <w:t xml:space="preserve"> in their own education, we know that funding sources, administrators, unions, government, families, students, and other teachers all weigh in on decision-making, but hegemonically government and funding are recognized as more oppressive powers than students themselves. For example, since many postsecondary institutions that can recommend teacher candidates for certification are accredited by the CEC </w:t>
      </w:r>
      <w:proofErr w:type="gramStart"/>
      <w:r>
        <w:t>through the use of</w:t>
      </w:r>
      <w:proofErr w:type="gramEnd"/>
      <w:r>
        <w:t xml:space="preserve"> the Initial or Advanced Special Education Preparation Standards, the Standards are used as a normalization tool for </w:t>
      </w:r>
      <w:r>
        <w:rPr>
          <w:i/>
          <w:iCs/>
        </w:rPr>
        <w:t xml:space="preserve">programs </w:t>
      </w:r>
      <w:r>
        <w:t xml:space="preserve">as well as for individual teachers. The power of state and federal funding from retaining program accreditation influences the decisions of university leaders to keep using the CEC Preparation Standards. The CEC Advanced Special Education Preparation Standards themselves are merely documenting the produced power from those relationships. </w:t>
      </w:r>
    </w:p>
    <w:p w14:paraId="69077EAB" w14:textId="77777777" w:rsidR="004B487C" w:rsidRDefault="00000000">
      <w:pPr>
        <w:spacing w:after="0" w:line="480" w:lineRule="auto"/>
      </w:pPr>
      <w:r>
        <w:t xml:space="preserve">Conversely, the ambiguity of </w:t>
      </w:r>
      <w:proofErr w:type="spellStart"/>
      <w:r>
        <w:t>careholders</w:t>
      </w:r>
      <w:proofErr w:type="spellEnd"/>
      <w:r>
        <w:t xml:space="preserve"> could document an opportunity for the special education specialist to disrupt this norm of power by resisting some </w:t>
      </w:r>
      <w:proofErr w:type="spellStart"/>
      <w:r>
        <w:t>careholder</w:t>
      </w:r>
      <w:proofErr w:type="spellEnd"/>
      <w:r>
        <w:t xml:space="preserve"> groups and favoring others, or even leveraging </w:t>
      </w:r>
      <w:proofErr w:type="spellStart"/>
      <w:r>
        <w:t>careholder</w:t>
      </w:r>
      <w:proofErr w:type="spellEnd"/>
      <w:r>
        <w:t xml:space="preserve"> power to the benefit of both teachers and students. For example, a disabled special education teacher could leverage their teachers’ union to make sure they get the required accommodations through their school’s human resources department. This action would benefit the disabled teacher, and, by way of hopefully decreasing their stress because they have support, also allow for disabled students </w:t>
      </w:r>
      <w:r>
        <w:lastRenderedPageBreak/>
        <w:t>to receive better services since the teacher can put more energy into their teaching job. Albeit this is looking at productivity of disabled people through a functional lens, the primary benefit is for the disabled student and the disabled teacher. Perhaps most importantly, the advocacy of the teachers’ union on behalf of the teacher is a step towards appropriately upholding ADA to support disabled employees. Substandard 7.3 states that ‘Special education specialists collaborate to promote understanding, resolve conflicts, and build consensus for improving programs, services, and outcomes for individuals with exceptionalities’ (CEC, 2015, Standard 7.3). The language of ‘understanding,’ ‘conflicts,’ and ‘</w:t>
      </w:r>
      <w:proofErr w:type="gramStart"/>
      <w:r>
        <w:t>consensus’</w:t>
      </w:r>
      <w:proofErr w:type="gramEnd"/>
      <w:r>
        <w:t xml:space="preserve"> allows for tension and resistance in the collaborative efforts of special educators. Though consensus should not be a goal to its own end, the Standards clearly state the purpose of such tensions and resolutions are for ‘improving programs, services, and outcomes for individuals with exceptionalities’ (CEC, 2015, Standard 7.3). This shows an advantage of the CEC Advanced Special Education Preparation Standards leaving decisions about </w:t>
      </w:r>
      <w:proofErr w:type="spellStart"/>
      <w:r>
        <w:t>careholders</w:t>
      </w:r>
      <w:proofErr w:type="spellEnd"/>
      <w:r>
        <w:t xml:space="preserve"> open to the expertise of teachers to leverage. </w:t>
      </w:r>
    </w:p>
    <w:p w14:paraId="5F93541D" w14:textId="77777777" w:rsidR="004B487C" w:rsidRDefault="00000000">
      <w:pPr>
        <w:spacing w:after="0" w:line="480" w:lineRule="auto"/>
        <w:ind w:firstLine="0"/>
      </w:pPr>
      <w:r>
        <w:rPr>
          <w:b/>
          <w:bCs/>
        </w:rPr>
        <w:t xml:space="preserve">Exclusion </w:t>
      </w:r>
    </w:p>
    <w:p w14:paraId="320ECF40" w14:textId="77777777" w:rsidR="004B487C" w:rsidRDefault="00000000">
      <w:pPr>
        <w:spacing w:after="0" w:line="480" w:lineRule="auto"/>
      </w:pPr>
      <w:r>
        <w:t>The discourse in the CEC Advanced Special Education Preparation Standards centers around evidence-based practices, with the metanarrative of normalization and exclusion of those with disabilities by equating those with disabilities as pathologically different (Gore, 2001). For example, the language of ‘learning differences’ (CEC, 2015, Standard 2.3) and ‘individuals with exceptionalities’ (CEC, 2015) emphasize the pathological difference of neurodivergent individuals and individuals with disabilities. This is both an example of curriculum as normalization (</w:t>
      </w:r>
      <w:proofErr w:type="spellStart"/>
      <w:r>
        <w:t>Erevelles</w:t>
      </w:r>
      <w:proofErr w:type="spellEnd"/>
      <w:r>
        <w:t xml:space="preserve">, 2005) and subtraction (Valenzuela, 2017 [2005]). The strategy of this exclusion is to mark those with disabilities as different through stigma. Stigma exists in all relations of power around disability in schools, from government leaders </w:t>
      </w:r>
      <w:r>
        <w:lastRenderedPageBreak/>
        <w:t xml:space="preserve">missing opportunities to further policies that support and protect individuals with disabilities, to administrators failing to include the perspectives of students with disabilities in district initiatives, to educators wanting special education teachers to solely carry the responsibility of managing students with disabilities’ behaviors and academics, to peers excluding and bullying students with disabilities or those who associate with students with disabilities. These relationships of normalization, subtraction, and exclusion reinforce ‘othering’ and stigma, as well as the use of inscription, with the underlying idea that a perpetual difference, a ‘less than,’ will always exist. Inscription on the body of the student, through practices such as evaluation, diagnosis, progress monitoring, assessment, and treatment, means that the student with disabilities holds a stigmatizing and othering ‘accumulation of documents’ (Foucault, 1975/1984, p. 201), which is interpreted before a teacher even meets a student. ‘This turning of real lives into writing’ is a disciplinary technique of power (Foucault, 1975/1984, p. 203). Foucault goes on: ‘The </w:t>
      </w:r>
      <w:r>
        <w:rPr>
          <w:i/>
          <w:iCs/>
        </w:rPr>
        <w:t xml:space="preserve">examination </w:t>
      </w:r>
      <w:r>
        <w:t xml:space="preserve">as the </w:t>
      </w:r>
      <w:r>
        <w:rPr>
          <w:i/>
          <w:iCs/>
        </w:rPr>
        <w:t>fixing</w:t>
      </w:r>
      <w:r>
        <w:t xml:space="preserve">, at once ritual and “scientific,” of individual differences… clearly indicates the appearance of a new modality of power in which </w:t>
      </w:r>
      <w:proofErr w:type="gramStart"/>
      <w:r>
        <w:t>each individual</w:t>
      </w:r>
      <w:proofErr w:type="gramEnd"/>
      <w:r>
        <w:t>… is linked by his status to the features, the measurements, the gaps, the “marks” that characterize him and make him a “case”’ (p. 203, emphasis added). Examination, fixing, and measurement are evident in the documentation practices condoned in the CEC Advanced Special Education Preparation Standards.</w:t>
      </w:r>
    </w:p>
    <w:p w14:paraId="7D31A79B" w14:textId="77777777" w:rsidR="004B487C" w:rsidRDefault="00000000">
      <w:pPr>
        <w:spacing w:after="0" w:line="480" w:lineRule="auto"/>
      </w:pPr>
      <w:r>
        <w:t xml:space="preserve">The problem here is not the existence of difference – on the contrary, difference such as disability and neurodiversity are an asset to all of us, as explained by the disability gain model (see Garland-Thomson, 2005). The problem is when difference is seen through a deficit model or used for exclusionary power, an example being that Individualized Education Plans must utilize student deficits to qualify disabled students for services. Using language that embraces difference, such as Identity-First Language (AUCD, 2011; Brown, </w:t>
      </w:r>
      <w:r>
        <w:lastRenderedPageBreak/>
        <w:t xml:space="preserve">2011), in the CEC Standards could prompt educators to write more strengths-based IEPs that highlight the supports and successes of their students. A possible resistance to this exclusionary power could be that education practitioners and researchers use lenses such as Critical Disability Studies to center their work. Standard 4.2 states, ‘Special education specialists use their knowledge of the professional literature to improve practices…’ (CEC, 2015, Standard 4.2); this could include literature situated within a CDS framework. Such literature could encourage disabled and neurodivergent educators in the teaching profession, support inclusive strategies for schools and universities to employ disabled special educators, and describe special education practices through a CDS lens. </w:t>
      </w:r>
    </w:p>
    <w:p w14:paraId="74F7F1F2" w14:textId="77777777" w:rsidR="004B487C" w:rsidRDefault="00000000">
      <w:pPr>
        <w:spacing w:after="0" w:line="480" w:lineRule="auto"/>
        <w:rPr>
          <w:highlight w:val="yellow"/>
        </w:rPr>
      </w:pPr>
      <w:r>
        <w:t xml:space="preserve">Another potential problem of exclusionary discipline in the CEC Advanced Special Education Preparation Standards is the stigma of assumed dependence. Many of the Standards articulate ‘Special education specialists [do something] </w:t>
      </w:r>
      <w:r>
        <w:rPr>
          <w:i/>
          <w:iCs/>
        </w:rPr>
        <w:t xml:space="preserve">for </w:t>
      </w:r>
      <w:r>
        <w:t xml:space="preserve">individuals with exceptionalities’: such as ‘Special education specialists design and implement evaluation activities to improve programs, supports, and services for individuals with exceptionalities’ (CEC, 2015, Standard 3.1); ‘Special education specialists apply knowledge of theories, evidence-based practices, and relevant laws to advocate for programs, supports, and services for individuals with exceptionalities’ (CEC, 2015, Standard 3.3); ‘Special education specialists evaluate progress toward achieving the vision, mission, and goals of programs, services, and supports for individuals with exceptionalities’ (CEC, 2015, Standard 3.5). Rather than promoting multidirectional interdependence with disabled and nondisabled individuals, these Standards emphasize disabled students as passive recipients of their teachers’ actions. Special educators can and should resist this exclusionary discipline by collaborating with and relying on the expertise of their students, valuing disabled student knowledge as a unique perspective into insightful understandings about special education </w:t>
      </w:r>
      <w:r>
        <w:lastRenderedPageBreak/>
        <w:t xml:space="preserve">practices. Similarly, hiring more disabled teachers and teachers trained in CDS would be acts of resisting this exclusionary discipline. Special education programs can also offer courses in CDS as part of the curricula. </w:t>
      </w:r>
    </w:p>
    <w:p w14:paraId="6709CEDE" w14:textId="77777777" w:rsidR="004B487C" w:rsidRDefault="00000000">
      <w:pPr>
        <w:spacing w:after="0" w:line="480" w:lineRule="auto"/>
        <w:ind w:firstLine="0"/>
        <w:rPr>
          <w:b/>
          <w:bCs/>
        </w:rPr>
      </w:pPr>
      <w:r>
        <w:rPr>
          <w:b/>
          <w:bCs/>
        </w:rPr>
        <w:t>Classification</w:t>
      </w:r>
    </w:p>
    <w:p w14:paraId="7E520186" w14:textId="77777777" w:rsidR="004B487C" w:rsidRDefault="00000000">
      <w:pPr>
        <w:spacing w:after="0" w:line="480" w:lineRule="auto"/>
      </w:pPr>
      <w:r>
        <w:t>In power relations, groups or individuals are classified and ranked (Gore, 2001). In the CEC Advanced Special Education Preparation Standards, special education specialists are framed as the ‘protector’ and director or decision-maker of individuals with disabilities. The protecting ‘from’ discrimination, normalization, and possibly failure, is akin to being an ‘ally’ instead of a ‘co-conspirator’ (Love, 2019). Allyship assumes classification and can even be patronizing, while co-conspiring assumes equitable (or equally ranked) power. Examples of this framing of the role of the special educator can be found in Standard 3.2, where ‘special education specialists use [their] understanding of cultural, social, and economic diversity and individual learner differences to inform the development and improvement…’ (CEC, 2015, 3.2); Standard 3.3, in which special education specialists are the ones ‘</w:t>
      </w:r>
      <w:proofErr w:type="spellStart"/>
      <w:r>
        <w:t>advocat</w:t>
      </w:r>
      <w:proofErr w:type="spellEnd"/>
      <w:r>
        <w:t>[</w:t>
      </w:r>
      <w:proofErr w:type="spellStart"/>
      <w:r>
        <w:t>ing</w:t>
      </w:r>
      <w:proofErr w:type="spellEnd"/>
      <w:r>
        <w:t xml:space="preserve">] for… individuals with exceptionalities’ (CEC, 2015, 3.3); and Standard 3.5, with ‘special education specialists </w:t>
      </w:r>
      <w:proofErr w:type="spellStart"/>
      <w:r>
        <w:t>evaluat</w:t>
      </w:r>
      <w:proofErr w:type="spellEnd"/>
      <w:r>
        <w:t>[</w:t>
      </w:r>
      <w:proofErr w:type="spellStart"/>
      <w:r>
        <w:t>ing</w:t>
      </w:r>
      <w:proofErr w:type="spellEnd"/>
      <w:r>
        <w:t xml:space="preserve">] progress… ‘ (CEC, 2015, 3.5). Why are special education specialists not evaluating, advocating, and using understanding with student and family input? The classified groups of students and families are ranked as hegemonically less powerful than the group of teachers, emphasized as ‘specialists’ or professionals. The individuals with disabilities (the students) are classified as needing the help of the professional because of this ranking. This classifying knowledge/power relationship between teachers and students also omits the balancing of </w:t>
      </w:r>
      <w:r>
        <w:rPr>
          <w:i/>
          <w:iCs/>
        </w:rPr>
        <w:t xml:space="preserve">advocacy for </w:t>
      </w:r>
      <w:r>
        <w:t xml:space="preserve">with </w:t>
      </w:r>
      <w:r>
        <w:rPr>
          <w:i/>
          <w:iCs/>
        </w:rPr>
        <w:t>Dignity of Risk</w:t>
      </w:r>
      <w:r>
        <w:t xml:space="preserve">. Although some of the author’s language is outdated, Perske (1972), who introduced the concept of Dignity of Risk, asserts, ‘...overprotection endangers the [person </w:t>
      </w:r>
      <w:r>
        <w:lastRenderedPageBreak/>
        <w:t xml:space="preserve">with disabilities’] human dignity and tends to keep [them] from experiencing the normal taking of risks in life which is necessary for normal human growth and development’ (p. 24). While the use of the term ‘normal’ in this quote raises questions about the standardization of human development, the argument of Dignity of Risk is powerful because </w:t>
      </w:r>
      <w:r>
        <w:rPr>
          <w:i/>
          <w:iCs/>
        </w:rPr>
        <w:t xml:space="preserve">risk </w:t>
      </w:r>
      <w:r>
        <w:t xml:space="preserve">and </w:t>
      </w:r>
      <w:r>
        <w:rPr>
          <w:i/>
          <w:iCs/>
        </w:rPr>
        <w:t>decision-making</w:t>
      </w:r>
      <w:r>
        <w:t xml:space="preserve"> are rights automatically given to individuals without disabilities, but often withheld from individuals with disabilities. Ryan and Deci (2000) echo that all individuals naturally engage in self-motivation. Students, including students with disabilities, </w:t>
      </w:r>
      <w:r>
        <w:rPr>
          <w:i/>
          <w:iCs/>
        </w:rPr>
        <w:t xml:space="preserve">do </w:t>
      </w:r>
      <w:r>
        <w:t xml:space="preserve">have the knowledge/power to make choices with self-determination. The overemphasis on overprotection and advocacy </w:t>
      </w:r>
      <w:r>
        <w:rPr>
          <w:i/>
          <w:iCs/>
        </w:rPr>
        <w:t xml:space="preserve">for </w:t>
      </w:r>
      <w:r>
        <w:t xml:space="preserve">students with disabilities, instead of co-conspiracy and Dignity of Risk </w:t>
      </w:r>
      <w:r>
        <w:rPr>
          <w:i/>
          <w:iCs/>
        </w:rPr>
        <w:t xml:space="preserve">with </w:t>
      </w:r>
      <w:r>
        <w:t xml:space="preserve">students with disabilities, depicts schooling where the educator refuses to listen to the agency of the student, moving backward against the agenda of inclusion of people with </w:t>
      </w:r>
      <w:proofErr w:type="spellStart"/>
      <w:r>
        <w:t>neurodiversities</w:t>
      </w:r>
      <w:proofErr w:type="spellEnd"/>
      <w:r>
        <w:t xml:space="preserve"> and disabilities.</w:t>
      </w:r>
    </w:p>
    <w:p w14:paraId="2B115A95" w14:textId="77777777" w:rsidR="004B487C" w:rsidRDefault="00000000">
      <w:pPr>
        <w:spacing w:after="0" w:line="480" w:lineRule="auto"/>
      </w:pPr>
      <w:r>
        <w:t xml:space="preserve">Another example of classifying teacher knowledge/power (Foucault, 1975/1984, 1990/1978) as highly ranked is, ‘special education specialists use their knowledge of general and specialized curricula to improve programs, supports, and services at classroom, school, community, and system levels’ (CEC, 2015, 2.0). Again, there is nothing about input from students. It seems as if the CEC Advanced Special Education Preparation Standards assume a vacuum where teachers exist but there are no other existing power relations. </w:t>
      </w:r>
      <w:proofErr w:type="gramStart"/>
      <w:r>
        <w:t>In reality, teacher</w:t>
      </w:r>
      <w:proofErr w:type="gramEnd"/>
      <w:r>
        <w:t xml:space="preserve"> preparation programs, administrators, teachers, students, families, government, and even the media all reinforce the power of teachers to exercise ‘their (the teachers’) knowledge.’ Just as educators actively adjust and adapt the curriculum ‘because all activity takes place in a medium, in a situation, and with reference to its conditions’ (Dewey, 1902), we can apply this active adaptation to both the teachers’ knowledge/power being adjusted with the student, or ‘child’ (Dewey, 1902), and the adjustment of Standards as hegemonic </w:t>
      </w:r>
      <w:r>
        <w:lastRenderedPageBreak/>
        <w:t xml:space="preserve">knowledge/power relations shift. </w:t>
      </w:r>
    </w:p>
    <w:p w14:paraId="53CCC4FE" w14:textId="77777777" w:rsidR="004B487C" w:rsidRDefault="00000000">
      <w:pPr>
        <w:spacing w:after="0" w:line="480" w:lineRule="auto"/>
        <w:ind w:firstLine="0"/>
        <w:jc w:val="center"/>
        <w:rPr>
          <w:b/>
          <w:bCs/>
        </w:rPr>
      </w:pPr>
      <w:r>
        <w:rPr>
          <w:b/>
          <w:bCs/>
        </w:rPr>
        <w:t>Discussion</w:t>
      </w:r>
    </w:p>
    <w:p w14:paraId="71AE2D52" w14:textId="77777777" w:rsidR="004B487C" w:rsidRDefault="00000000">
      <w:pPr>
        <w:spacing w:after="0" w:line="480" w:lineRule="auto"/>
        <w:ind w:firstLine="0"/>
      </w:pPr>
      <w:r>
        <w:rPr>
          <w:b/>
          <w:bCs/>
        </w:rPr>
        <w:tab/>
      </w:r>
      <w:r>
        <w:t>A key finding of the analysis of the 2015 CEC Advanced Special Education Preparation Standards is the position of the teacher as the model of ableism, idealism, and normativity. The CEC Position Statement on educators with disabilities emphasizes the strengths of teachers with disabilities in building rapport, overcoming challenges, and having first-hand experience. It even encourages educators to disclose their disability to gain more support (CEC, 2016, p. 1). However, the Advanced Special Education Preparation Standards need to be updated to reflect the value of the strength of disability and the ‘power of neurodiversity’ (Armstrong, 2010). The over-emphasis on evidence-based practices can limit teachers from using their own experience with disability or engaging in out-of-the-box practices that may benefit students. Normativity, ableism, and idealism all work together to construct knowledge/power: ‘...new methods of power whose operation is not ensured by right but by technique, not by law but by normalization, not by punishment but by control, methods that are employed on all levels and in forms that go beyond the state and its apparatus’ (Foucault, 1990/1978, p. 89). The normalization of striving toward able-ness creates an ideal that punishes those with disabilities because of the exclusion and classification of this category of people as ‘less’ than those without disabilities. The notion of the teachers conforming to the able norm as the ideal perpetuates the hegemonic power of the neurotypical and able-bodied.</w:t>
      </w:r>
    </w:p>
    <w:p w14:paraId="420D95F4" w14:textId="77777777" w:rsidR="004B487C" w:rsidRDefault="00000000">
      <w:pPr>
        <w:widowControl/>
        <w:spacing w:after="0" w:line="480" w:lineRule="auto"/>
      </w:pPr>
      <w:r>
        <w:t xml:space="preserve">There is explicit language repeated in the Advanced Special Education Preparation Standards that ‘special education specialists will [insert verb] </w:t>
      </w:r>
      <w:r>
        <w:rPr>
          <w:i/>
          <w:iCs/>
        </w:rPr>
        <w:t xml:space="preserve">for </w:t>
      </w:r>
      <w:r>
        <w:t xml:space="preserve">individuals with exceptionalities’ (CEC, 2015, emphasis added). One of the primary tenets of natural supports in disability theory is the idea of ‘with, not for’ in that individuals with disabilities should be </w:t>
      </w:r>
      <w:r>
        <w:lastRenderedPageBreak/>
        <w:t xml:space="preserve">included in a naturally supportive environment (with individuals without disabilities), rather than individuals without disabilities accommodating for or doing things for individuals with disabilities (Perske, 1972; Ryan &amp; Deci, 2000). One silence in the Standards is the voice of students. According to the Advanced Special Education Preparation Standards, special education specialists will decide on and implement assessment, curriculum, strategies, programs, supports, services, technologies, standards, vision, mission, and purpose using their knowledge of diversity, learning, individuals, theories, practices, laws, inquiry, and research, arguably to perpetuate disciplinary power over the student with disabilities. There is no student input on or co-construction of the instructional strategies, curriculum, assessment, purpose, or goals, nor is there student voice represented in the Standards about their own strengths, needs, interests, and preferences. Together, these agencies are also known as </w:t>
      </w:r>
      <w:r>
        <w:rPr>
          <w:i/>
          <w:iCs/>
        </w:rPr>
        <w:t>self-advocacy</w:t>
      </w:r>
      <w:r>
        <w:t xml:space="preserve">, which is another significant silence in the CEC Advanced Special Education Preparation Standards. </w:t>
      </w:r>
    </w:p>
    <w:p w14:paraId="1E3E9286" w14:textId="77777777" w:rsidR="004B487C" w:rsidRDefault="00000000">
      <w:pPr>
        <w:widowControl/>
        <w:spacing w:after="0" w:line="480" w:lineRule="auto"/>
      </w:pPr>
      <w:r>
        <w:t xml:space="preserve">In the 2015 CEC Advanced Special Education Preparation Standards, actual discussion or mention of disability is avoided. This absence of the word ‘disability’ in the Standards reinforces the stigma, invisibility, and othering of disability by circumventing the very idea of disability. If the CEC would move toward discussing disability directly and openly in the Standards, this could raise awareness about disability as an example of human variance (Higgins, 1992; </w:t>
      </w:r>
      <w:proofErr w:type="spellStart"/>
      <w:r>
        <w:t>Naraian</w:t>
      </w:r>
      <w:proofErr w:type="spellEnd"/>
      <w:r>
        <w:t xml:space="preserve"> &amp; </w:t>
      </w:r>
      <w:proofErr w:type="spellStart"/>
      <w:r>
        <w:t>Amrhein</w:t>
      </w:r>
      <w:proofErr w:type="spellEnd"/>
      <w:r>
        <w:t xml:space="preserve">, 2020; Scotch &amp; </w:t>
      </w:r>
      <w:proofErr w:type="spellStart"/>
      <w:r>
        <w:t>Schriner</w:t>
      </w:r>
      <w:proofErr w:type="spellEnd"/>
      <w:r>
        <w:t xml:space="preserve">, 1997) rather than a perpetual or ‘pathological’ difference (Foucault, as cited in Gore, 2001) to be shunned. Even more progressive would be the inclusion of individuals with disabilities in the decision about language used. In her book, </w:t>
      </w:r>
      <w:r>
        <w:rPr>
          <w:i/>
          <w:iCs/>
        </w:rPr>
        <w:t>Disability Visibility</w:t>
      </w:r>
      <w:r>
        <w:t xml:space="preserve">, editor and self-advocate Alice Wong (2020) explains that disability influences all aspects of life, including ‘being, belonging, doing, and </w:t>
      </w:r>
      <w:r>
        <w:lastRenderedPageBreak/>
        <w:t>connecting;’ therefore, it is easy to assume that the disability community would have excellent insight and a variety of perspectives to offer on the language used by the CEC.</w:t>
      </w:r>
    </w:p>
    <w:p w14:paraId="6187F332" w14:textId="77777777" w:rsidR="004B487C" w:rsidRDefault="00000000">
      <w:pPr>
        <w:widowControl/>
        <w:spacing w:after="0" w:line="480" w:lineRule="auto"/>
      </w:pPr>
      <w:r>
        <w:t>Instead of using Person-First Language or Identity-First Language, the 2015 CEC Advanced Special Education Preparation Standards use the phrase ‘individuals with exceptionalities.’ The name of the organization reverses that phrase to ‘exceptional children.’ The choice of the word ‘exceptional(</w:t>
      </w:r>
      <w:proofErr w:type="spellStart"/>
      <w:r>
        <w:t>ities</w:t>
      </w:r>
      <w:proofErr w:type="spellEnd"/>
      <w:r>
        <w:t xml:space="preserve">)’ potentially steers away from deficit language because ‘exceptional’ can describe someone or something positively or negatively… although always differently from a norm. However, the placement of the word ‘exceptional’ before the word ‘children’ could be viewed as a labeling of children and as a nod to Deficit-First Language, or even as disciplinary inscription (Foucault, 1975/1984). According to Keefe (2022), using euphemisms such as ‘exceptional’ and ‘special needs,’ instead of ‘disabilities’ and ‘disabled,’ perpetuates the stigma of difference and is often viewed as offensive or infantilizing by the disability community (p. 124). Again, use of either Person-First or Identity-First Language could reduce the stigma of disability by bringing the difference of disability into a positive light in the conversation of special education by talking about disability directly. Do the CEC Advanced Preparation Standards exist to discipline the bodies of those with disabilities, and, to discipline the bodies of those without disabilities to oppress those with disabilities? It seems that through normalization, exclusion, and classification, these Standards do reinforce hegemonic knowledge/power structures (Foucault, 1975/1984, 1990/1978) of the able body (and mind) over the disabled body and mind, contributing to the deficit model in schools. This genealogical exercise resists and shifts power because my questions generate friction with the teacher-centeredness of the CEC Advanced Special Education Preparation Standards. </w:t>
      </w:r>
    </w:p>
    <w:p w14:paraId="3789C12C" w14:textId="77777777" w:rsidR="004B487C" w:rsidRDefault="004B487C">
      <w:pPr>
        <w:spacing w:after="0" w:line="480" w:lineRule="auto"/>
        <w:ind w:firstLine="0"/>
        <w:jc w:val="center"/>
        <w:rPr>
          <w:b/>
          <w:bCs/>
        </w:rPr>
      </w:pPr>
    </w:p>
    <w:p w14:paraId="3AC48010" w14:textId="77777777" w:rsidR="004B487C" w:rsidRDefault="00000000">
      <w:pPr>
        <w:spacing w:after="0" w:line="480" w:lineRule="auto"/>
        <w:ind w:firstLine="0"/>
        <w:jc w:val="center"/>
      </w:pPr>
      <w:r>
        <w:rPr>
          <w:b/>
          <w:bCs/>
        </w:rPr>
        <w:lastRenderedPageBreak/>
        <w:t>Conclusion</w:t>
      </w:r>
    </w:p>
    <w:p w14:paraId="1F71BFCE" w14:textId="77777777" w:rsidR="004B487C" w:rsidRDefault="00000000">
      <w:pPr>
        <w:spacing w:after="0" w:line="480" w:lineRule="auto"/>
      </w:pPr>
      <w:r>
        <w:t xml:space="preserve">It is important to note that as an organization, the CEC has made strides in including neurodivergent teachers and educators with disabilities and celebrating their expertise. This genealogy seeks not to analyze the CEC as an organizational whole, but rather to examine the specific document of the 2015 Advanced Special Education Preparation Standards to explore the research questions: </w:t>
      </w:r>
      <w:r>
        <w:rPr>
          <w:i/>
          <w:iCs/>
        </w:rPr>
        <w:t>How do the CEC Advanced Special Education Preparation Standards negotiate the inclusion of neurodivergent teacher candidates?</w:t>
      </w:r>
      <w:r>
        <w:t xml:space="preserve"> and </w:t>
      </w:r>
      <w:r>
        <w:rPr>
          <w:i/>
          <w:iCs/>
        </w:rPr>
        <w:t>What is the role of the student with disabilities in schooling, according to the CEC Advanced Special Education Preparation Standards?</w:t>
      </w:r>
      <w:r>
        <w:t xml:space="preserve"> Interestingly, a question for further research that emerged is the idea of whether and how the 2015 Advanced Special Education Preparation Standards as they are currently written uphold the values of the CEC organization, or if revising would reflect these stated values more accurately. It is my hope that this article will be taken into consideration in the next revisions of the CEC Advanced Special Education Preparation Standards. </w:t>
      </w:r>
    </w:p>
    <w:p w14:paraId="69D7FB14" w14:textId="77777777" w:rsidR="004B487C" w:rsidRDefault="00000000">
      <w:pPr>
        <w:spacing w:after="0" w:line="480" w:lineRule="auto"/>
      </w:pPr>
      <w:r>
        <w:t xml:space="preserve">An important question raised by the analysis of the 2015 CEC Advanced Special Education Preparation Standards is: While the Standards are and should be written about teachers and teacher programs, why is the student and the experience of the student, or even the impact of the program, mostly absent? Even though the standards are for the audience of teachers and teacher preparation programs, the silence of the student with disabilities in the Standards is presaged by the history of disability in the United States, which is rife with silence, othering, and invisibility. Federal law finally outlawed discrimination based on disability in 1973 (Section 504 of the Rehabilitation Act of 1973). Individuals with disabilities were often institutionalized, even from a young age. It wasn’t until 1975 and the passage of the Education for All Handicapped Children Act (IDEA, 2004), later renamed to IDEA, that children with disabilities were allowed to participate in public schools. Still today, </w:t>
      </w:r>
      <w:r>
        <w:lastRenderedPageBreak/>
        <w:t xml:space="preserve">guardianship, while important for many individuals with disabilities, robs some people with disabilities of their rights if family members take advantage of decision-making power (National Resource Center for Supported Decision-Making, 2014). </w:t>
      </w:r>
    </w:p>
    <w:p w14:paraId="1DC825C7" w14:textId="77777777" w:rsidR="004B487C" w:rsidRDefault="00000000">
      <w:pPr>
        <w:spacing w:after="0" w:line="480" w:lineRule="auto"/>
      </w:pPr>
      <w:r>
        <w:t>The CEC Advanced Special Education Preparation Standards follow the mainstream able-bodied and neurotypical ideal of teachers, an example of authority with assumed power (Foucault, 1975/1984), ‘fixing’ students with disabilities to fit into an ableist society. There are no mentions of consulting with the students themselves, let alone having students be co-constructors of learning and the learning environment. In response to the research questions, the examination of the Standards reveals that not only do students with disabilities need to adapt to able society, but also that teachers must be models of ableism if they are to contribute to the narrative of special education in schools as a reflection of greater society. This leaves little room for teachers with disabilities, even though neurodivergent teachers and teachers with disabilities might be the best people to facilitate learning for students. The student with disabilities’ role in schooling is that of quiet compliance rather than agency.</w:t>
      </w:r>
    </w:p>
    <w:p w14:paraId="225E1245" w14:textId="77777777" w:rsidR="004B487C" w:rsidRDefault="00000000">
      <w:pPr>
        <w:spacing w:after="0" w:line="480" w:lineRule="auto"/>
      </w:pPr>
      <w:r>
        <w:t xml:space="preserve">As researchers, clinicians, therapists, medical professionals, teachers, teacher educators, and other practitioners, we must make sure we recognize our assumed power, constructed through the knowledge of normalization, exclusion, classification, and ableism. Challenging this hegemonic power/knowledge leads us to include and value the voices, experiences, assets, and choices of individuals with disabilities (both students and adults). </w:t>
      </w:r>
    </w:p>
    <w:p w14:paraId="0DEFA5C7" w14:textId="77777777" w:rsidR="004B487C" w:rsidRDefault="00000000">
      <w:pPr>
        <w:spacing w:after="0" w:line="480" w:lineRule="auto"/>
      </w:pPr>
      <w:r>
        <w:t>Practices such as Person-Centered Planning (PCP) and Circles of Support (</w:t>
      </w:r>
      <w:proofErr w:type="spellStart"/>
      <w:r>
        <w:t>Mazotti</w:t>
      </w:r>
      <w:proofErr w:type="spellEnd"/>
      <w:r>
        <w:t xml:space="preserve"> et al., 2015; </w:t>
      </w:r>
      <w:proofErr w:type="spellStart"/>
      <w:r>
        <w:t>Wistow</w:t>
      </w:r>
      <w:proofErr w:type="spellEnd"/>
      <w:r>
        <w:t xml:space="preserve"> et al., 2016) focus on individuals with disabilities and disrupt power hierarchies by assuming the knowledge of individuals with disabilities is as important as, if not more important than, the knowledge of other parties. For example, Wells and </w:t>
      </w:r>
      <w:proofErr w:type="spellStart"/>
      <w:r>
        <w:t>Sheehey</w:t>
      </w:r>
      <w:proofErr w:type="spellEnd"/>
      <w:r>
        <w:t xml:space="preserve"> (2012) describe how Making Action Plans (MAPS) is an application of PCP for IEP </w:t>
      </w:r>
      <w:r>
        <w:lastRenderedPageBreak/>
        <w:t>development. Using PCP in IEPs and Committee on Special Education meetings would be a welcome addition to draw on strengths of both students with disabilities and their teachers. Special educators could use strategies from Circles of Support to improve outcomes for disabled students by drawing on natural and informal supports in the community (</w:t>
      </w:r>
      <w:proofErr w:type="spellStart"/>
      <w:r>
        <w:t>Araten</w:t>
      </w:r>
      <w:proofErr w:type="spellEnd"/>
      <w:r>
        <w:t xml:space="preserve">-Bergman &amp; </w:t>
      </w:r>
      <w:proofErr w:type="spellStart"/>
      <w:r>
        <w:t>Bigby</w:t>
      </w:r>
      <w:proofErr w:type="spellEnd"/>
      <w:r>
        <w:t xml:space="preserve">, 2022). These student-centered models allow disabled individuals more agency and interdependence in academic, employment, and social domains. </w:t>
      </w:r>
    </w:p>
    <w:p w14:paraId="3DB78C6C" w14:textId="77777777" w:rsidR="004B487C" w:rsidRDefault="00000000">
      <w:pPr>
        <w:spacing w:after="0" w:line="480" w:lineRule="auto"/>
        <w:rPr>
          <w:b/>
          <w:bCs/>
        </w:rPr>
      </w:pPr>
      <w:r>
        <w:t xml:space="preserve">PCP and Circles of Support can be used with students </w:t>
      </w:r>
      <w:r>
        <w:rPr>
          <w:i/>
          <w:iCs/>
        </w:rPr>
        <w:t xml:space="preserve">and </w:t>
      </w:r>
      <w:r>
        <w:t xml:space="preserve">with teachers and faculty. Having teacher educators model Circles of Support, having teacher candidates create Circles of Support, or even allowing teacher candidates to have PCP meetings for themselves, can lead to self-reflection, a valuing of diversity amongst faculty and staff, and a step towards inclusion. For instance, faculty and staff within a teacher education program could model their evaluations and department meetings around PCP strategies; allowing teacher educators agency in their practice could encourage these professionals to employ practices with their own students and teacher candidates. Perhaps through challenging the 2015 CEC Advanced Special Education Preparation Standards, teacher preparation programs will seek to hire more faculty with disabilities and </w:t>
      </w:r>
      <w:proofErr w:type="spellStart"/>
      <w:r>
        <w:t>neurodiversities</w:t>
      </w:r>
      <w:proofErr w:type="spellEnd"/>
      <w:r>
        <w:t xml:space="preserve">, modeling inclusion and encouraging more diverse candidates to enter the teaching field, thus redistributing the knowledge/power of students with disabilities and their teachers. </w:t>
      </w:r>
    </w:p>
    <w:p w14:paraId="4592EFDD" w14:textId="77777777" w:rsidR="004B487C" w:rsidRDefault="004B487C">
      <w:pPr>
        <w:spacing w:line="480" w:lineRule="auto"/>
        <w:jc w:val="center"/>
        <w:rPr>
          <w:b/>
          <w:bCs/>
        </w:rPr>
      </w:pPr>
    </w:p>
    <w:p w14:paraId="3108C8F4" w14:textId="77777777" w:rsidR="004B487C" w:rsidRDefault="004B487C">
      <w:pPr>
        <w:spacing w:line="480" w:lineRule="auto"/>
        <w:jc w:val="center"/>
        <w:rPr>
          <w:b/>
          <w:bCs/>
        </w:rPr>
      </w:pPr>
    </w:p>
    <w:p w14:paraId="3912000C" w14:textId="77777777" w:rsidR="004B487C" w:rsidRDefault="004B487C">
      <w:pPr>
        <w:spacing w:line="480" w:lineRule="auto"/>
        <w:jc w:val="center"/>
        <w:rPr>
          <w:b/>
          <w:bCs/>
        </w:rPr>
      </w:pPr>
    </w:p>
    <w:p w14:paraId="0298AA2C" w14:textId="77777777" w:rsidR="004B487C" w:rsidRDefault="004B487C">
      <w:pPr>
        <w:spacing w:line="480" w:lineRule="auto"/>
        <w:jc w:val="center"/>
        <w:rPr>
          <w:b/>
          <w:bCs/>
        </w:rPr>
      </w:pPr>
    </w:p>
    <w:p w14:paraId="35C51D59" w14:textId="77777777" w:rsidR="004B487C" w:rsidRDefault="004B487C">
      <w:pPr>
        <w:spacing w:after="0" w:line="480" w:lineRule="auto"/>
        <w:jc w:val="center"/>
        <w:rPr>
          <w:b/>
          <w:bCs/>
        </w:rPr>
      </w:pPr>
    </w:p>
    <w:p w14:paraId="66039E1F" w14:textId="77777777" w:rsidR="004B487C" w:rsidRDefault="00000000" w:rsidP="008938D0">
      <w:pPr>
        <w:spacing w:after="0" w:line="480" w:lineRule="auto"/>
        <w:ind w:firstLine="0"/>
        <w:jc w:val="center"/>
        <w:rPr>
          <w:sz w:val="20"/>
          <w:szCs w:val="20"/>
        </w:rPr>
      </w:pPr>
      <w:r>
        <w:rPr>
          <w:b/>
          <w:bCs/>
        </w:rPr>
        <w:t>References</w:t>
      </w:r>
    </w:p>
    <w:p w14:paraId="33D60459" w14:textId="77777777" w:rsidR="004B487C" w:rsidRDefault="00000000">
      <w:pPr>
        <w:spacing w:after="0" w:line="480" w:lineRule="auto"/>
        <w:ind w:left="720" w:hanging="720"/>
      </w:pPr>
      <w:r>
        <w:t>The Centers for Disease Control and Prevention. (2025). Fast Facts of Common Eye Disorders. </w:t>
      </w:r>
      <w:hyperlink r:id="rId15">
        <w:r>
          <w:rPr>
            <w:color w:val="0000FF"/>
            <w:u w:val="single"/>
          </w:rPr>
          <w:t>https://www.cdc.gov/visionhealth/basics/ced/fastfacts.htm</w:t>
        </w:r>
      </w:hyperlink>
    </w:p>
    <w:p w14:paraId="34719230" w14:textId="77777777" w:rsidR="004B487C" w:rsidRDefault="00000000">
      <w:pPr>
        <w:spacing w:after="0" w:line="480" w:lineRule="auto"/>
        <w:ind w:left="720" w:hanging="720"/>
      </w:pPr>
      <w:r>
        <w:t xml:space="preserve">Conway, M., </w:t>
      </w:r>
      <w:proofErr w:type="spellStart"/>
      <w:r>
        <w:t>Oppegaard</w:t>
      </w:r>
      <w:proofErr w:type="spellEnd"/>
      <w:r>
        <w:t xml:space="preserve">, B., Bullen, M., Miguel, A., &amp; Brown-Ogilvie, T. (2023). </w:t>
      </w:r>
      <w:r>
        <w:rPr>
          <w:i/>
          <w:iCs/>
        </w:rPr>
        <w:t xml:space="preserve">Describing people and portraits through audio description: Preferences of people who are blind, low vision, and </w:t>
      </w:r>
      <w:proofErr w:type="spellStart"/>
      <w:r>
        <w:rPr>
          <w:i/>
          <w:iCs/>
        </w:rPr>
        <w:t>DeafBlind</w:t>
      </w:r>
      <w:proofErr w:type="spellEnd"/>
      <w:r>
        <w:t xml:space="preserve">. Helen Keller Services for the Blind. </w:t>
      </w:r>
      <w:hyperlink r:id="rId16">
        <w:r>
          <w:rPr>
            <w:color w:val="0000FF"/>
            <w:u w:val="single"/>
          </w:rPr>
          <w:t>https://www.helenkeller.org/audio-describing-people-and-portraits-2022/</w:t>
        </w:r>
      </w:hyperlink>
    </w:p>
    <w:p w14:paraId="04021CB3" w14:textId="77777777" w:rsidR="004B487C" w:rsidRDefault="00000000">
      <w:pPr>
        <w:spacing w:after="0" w:line="480" w:lineRule="auto"/>
        <w:ind w:left="720" w:hanging="720"/>
      </w:pPr>
      <w:r>
        <w:t xml:space="preserve">Fresno, N., </w:t>
      </w:r>
      <w:proofErr w:type="spellStart"/>
      <w:r>
        <w:t>Castellà</w:t>
      </w:r>
      <w:proofErr w:type="spellEnd"/>
      <w:r>
        <w:t xml:space="preserve"> Mate, J., &amp; Soler </w:t>
      </w:r>
      <w:proofErr w:type="spellStart"/>
      <w:r>
        <w:t>Vilageliu</w:t>
      </w:r>
      <w:proofErr w:type="spellEnd"/>
      <w:r>
        <w:t xml:space="preserve">, O. (2014). Less is more: Effects of the amount of information and its presentation in the recall and reception of audio-described characters. </w:t>
      </w:r>
      <w:r>
        <w:rPr>
          <w:i/>
          <w:iCs/>
        </w:rPr>
        <w:t>International Journal of Sciences: Basic and Applied Research, 14</w:t>
      </w:r>
      <w:r>
        <w:t>, 169–196.</w:t>
      </w:r>
    </w:p>
    <w:p w14:paraId="6013A9A9" w14:textId="77777777" w:rsidR="004B487C" w:rsidRDefault="00000000">
      <w:pPr>
        <w:spacing w:after="0" w:line="480" w:lineRule="auto"/>
        <w:ind w:left="720" w:hanging="720"/>
      </w:pPr>
      <w:r>
        <w:t xml:space="preserve">Fryer, L. (2016). </w:t>
      </w:r>
      <w:r>
        <w:rPr>
          <w:i/>
          <w:iCs/>
        </w:rPr>
        <w:t>An introduction to audio description: A practical guide</w:t>
      </w:r>
      <w:r>
        <w:t>. Routledge.</w:t>
      </w:r>
    </w:p>
    <w:p w14:paraId="6D609FCB" w14:textId="77777777" w:rsidR="004B487C" w:rsidRDefault="00000000">
      <w:pPr>
        <w:spacing w:after="0" w:line="480" w:lineRule="auto"/>
        <w:ind w:left="720" w:hanging="720"/>
      </w:pPr>
      <w:r>
        <w:t xml:space="preserve">Hartley, M., &amp; </w:t>
      </w:r>
      <w:proofErr w:type="spellStart"/>
      <w:r>
        <w:t>Oppegaard</w:t>
      </w:r>
      <w:proofErr w:type="spellEnd"/>
      <w:r>
        <w:t xml:space="preserve">, B. (2024). Collaboration, Friendly Competition, and Co-Creation: A Hackathon-Inspired Way of Audio Describing the World, One National Park Service Brochure at A Time. </w:t>
      </w:r>
      <w:r>
        <w:rPr>
          <w:i/>
          <w:iCs/>
        </w:rPr>
        <w:t xml:space="preserve">Heritage in Action, </w:t>
      </w:r>
      <w:r>
        <w:t>UNESCO-WHIPIC</w:t>
      </w:r>
      <w:r>
        <w:rPr>
          <w:i/>
          <w:iCs/>
        </w:rPr>
        <w:t xml:space="preserve">. </w:t>
      </w:r>
      <w:r>
        <w:t>https://unesco-whipic.org/reports/</w:t>
      </w:r>
    </w:p>
    <w:p w14:paraId="2EDF2210" w14:textId="77777777" w:rsidR="004B487C" w:rsidRDefault="00000000">
      <w:pPr>
        <w:spacing w:after="0" w:line="480" w:lineRule="auto"/>
        <w:ind w:left="720" w:hanging="720"/>
      </w:pPr>
      <w:r>
        <w:t xml:space="preserve">Koirala, S., &amp; </w:t>
      </w:r>
      <w:proofErr w:type="spellStart"/>
      <w:r>
        <w:t>Oppegaard</w:t>
      </w:r>
      <w:proofErr w:type="spellEnd"/>
      <w:r>
        <w:t xml:space="preserve">, B. (2022). The light bulb went on: A historiography-based approach to disentangling audio description’s influential U.S. roots from its common practices. </w:t>
      </w:r>
      <w:r>
        <w:rPr>
          <w:i/>
          <w:iCs/>
        </w:rPr>
        <w:t>Journal of Visual Impairment &amp; Blindness, 116</w:t>
      </w:r>
      <w:r>
        <w:t xml:space="preserve">(4), 1–12. </w:t>
      </w:r>
      <w:hyperlink r:id="rId17">
        <w:r>
          <w:rPr>
            <w:color w:val="0000FF"/>
            <w:u w:val="single"/>
          </w:rPr>
          <w:t>https://doi.org/10.1177/0145482X221116903</w:t>
        </w:r>
      </w:hyperlink>
    </w:p>
    <w:p w14:paraId="412A8845" w14:textId="77777777" w:rsidR="004B487C" w:rsidRDefault="00000000">
      <w:pPr>
        <w:spacing w:after="0" w:line="480" w:lineRule="auto"/>
        <w:ind w:left="720" w:hanging="720"/>
      </w:pPr>
      <w:proofErr w:type="spellStart"/>
      <w:r>
        <w:t>Maszerowska</w:t>
      </w:r>
      <w:proofErr w:type="spellEnd"/>
      <w:r>
        <w:t xml:space="preserve">, A., </w:t>
      </w:r>
      <w:proofErr w:type="spellStart"/>
      <w:r>
        <w:t>Matamala</w:t>
      </w:r>
      <w:proofErr w:type="spellEnd"/>
      <w:r>
        <w:t xml:space="preserve">, A., &amp; Orero, P. (2014). </w:t>
      </w:r>
      <w:r>
        <w:rPr>
          <w:i/>
          <w:iCs/>
        </w:rPr>
        <w:t>Audio description: New perspectives illustrated</w:t>
      </w:r>
      <w:r>
        <w:t>. John Benjamins Publishing Company.</w:t>
      </w:r>
    </w:p>
    <w:p w14:paraId="17BA8B59" w14:textId="77777777" w:rsidR="004B487C" w:rsidRDefault="00000000">
      <w:pPr>
        <w:spacing w:after="0" w:line="480" w:lineRule="auto"/>
        <w:ind w:left="720" w:hanging="720"/>
      </w:pPr>
      <w:proofErr w:type="spellStart"/>
      <w:r>
        <w:t>Matamala</w:t>
      </w:r>
      <w:proofErr w:type="spellEnd"/>
      <w:r>
        <w:t xml:space="preserve">, A., &amp; Orero, P. (2016). </w:t>
      </w:r>
      <w:r>
        <w:rPr>
          <w:i/>
          <w:iCs/>
        </w:rPr>
        <w:t>Researching audio description: New approaches</w:t>
      </w:r>
      <w:r>
        <w:t xml:space="preserve">. Palgrave </w:t>
      </w:r>
      <w:r>
        <w:lastRenderedPageBreak/>
        <w:t>Macmillan.</w:t>
      </w:r>
    </w:p>
    <w:p w14:paraId="6A80855C" w14:textId="77777777" w:rsidR="004B487C" w:rsidRDefault="00000000">
      <w:pPr>
        <w:spacing w:after="0" w:line="480" w:lineRule="auto"/>
        <w:ind w:left="720" w:hanging="720"/>
      </w:pPr>
      <w:r>
        <w:t xml:space="preserve">Miles, M. (2003). Segregated we stand? The mutilated Greeks' debate at Persepolis, 330 BC. </w:t>
      </w:r>
      <w:r>
        <w:rPr>
          <w:i/>
          <w:iCs/>
        </w:rPr>
        <w:t>Disability &amp; Society, 18</w:t>
      </w:r>
      <w:r>
        <w:t>(7), 865–879.</w:t>
      </w:r>
    </w:p>
    <w:p w14:paraId="5F8904D2" w14:textId="77777777" w:rsidR="004B487C" w:rsidRDefault="00000000">
      <w:pPr>
        <w:spacing w:after="0" w:line="480" w:lineRule="auto"/>
        <w:ind w:left="720" w:hanging="720"/>
      </w:pPr>
      <w:r>
        <w:t xml:space="preserve">Nielsen, K. E. (2012). </w:t>
      </w:r>
      <w:r>
        <w:rPr>
          <w:i/>
          <w:iCs/>
        </w:rPr>
        <w:t>A disability history of the United States</w:t>
      </w:r>
      <w:r>
        <w:t>. Beacon Press.</w:t>
      </w:r>
    </w:p>
    <w:p w14:paraId="268AC36F" w14:textId="77777777" w:rsidR="004B487C" w:rsidRDefault="00000000">
      <w:pPr>
        <w:spacing w:after="0" w:line="480" w:lineRule="auto"/>
        <w:ind w:left="720" w:hanging="720"/>
      </w:pPr>
      <w:r>
        <w:t xml:space="preserve">Conway, M., </w:t>
      </w:r>
      <w:proofErr w:type="spellStart"/>
      <w:r>
        <w:t>Oppegaard</w:t>
      </w:r>
      <w:proofErr w:type="spellEnd"/>
      <w:r>
        <w:t>, B., Bullen, M., Miguel, A., &amp; Brown-</w:t>
      </w:r>
      <w:proofErr w:type="spellStart"/>
      <w:r>
        <w:t>Oglivie</w:t>
      </w:r>
      <w:proofErr w:type="spellEnd"/>
      <w:r>
        <w:t xml:space="preserve">, T. (2022). Describing people and portraits through audio description: Preferences of people who are blind, low vision, and </w:t>
      </w:r>
      <w:proofErr w:type="spellStart"/>
      <w:r>
        <w:t>DeafBlind</w:t>
      </w:r>
      <w:proofErr w:type="spellEnd"/>
      <w:r>
        <w:t>.</w:t>
      </w:r>
      <w:r>
        <w:rPr>
          <w:i/>
          <w:iCs/>
        </w:rPr>
        <w:t xml:space="preserve"> Helen Keller Services for the Blind. </w:t>
      </w:r>
      <w:r>
        <w:t>https://www.helenkeller.org/audio-describing-people-and-portraits-2022/</w:t>
      </w:r>
    </w:p>
    <w:p w14:paraId="34783651" w14:textId="77777777" w:rsidR="004B487C" w:rsidRDefault="00000000">
      <w:pPr>
        <w:spacing w:after="0" w:line="480" w:lineRule="auto"/>
        <w:ind w:left="720" w:hanging="720"/>
      </w:pPr>
      <w:r>
        <w:t xml:space="preserve">Packer, T. L., McKercher, B., &amp; Yau, M. K. (2007). Understanding the complex interplay between tourism, disability, and environmental contexts. </w:t>
      </w:r>
      <w:r>
        <w:rPr>
          <w:i/>
          <w:iCs/>
        </w:rPr>
        <w:t>Disability and Rehabilitation, 29</w:t>
      </w:r>
      <w:r>
        <w:t>(4), 281–292.</w:t>
      </w:r>
    </w:p>
    <w:p w14:paraId="02C895B9" w14:textId="77777777" w:rsidR="004B487C" w:rsidRDefault="00000000">
      <w:pPr>
        <w:spacing w:after="0" w:line="480" w:lineRule="auto"/>
        <w:ind w:left="720" w:hanging="720"/>
      </w:pPr>
      <w:r>
        <w:t xml:space="preserve">Parker, A., </w:t>
      </w:r>
      <w:proofErr w:type="spellStart"/>
      <w:r>
        <w:t>Oppegaard</w:t>
      </w:r>
      <w:proofErr w:type="spellEnd"/>
      <w:r>
        <w:t xml:space="preserve">, B., Hopper, H., </w:t>
      </w:r>
      <w:proofErr w:type="spellStart"/>
      <w:r>
        <w:t>Magaoay-Baniaga</w:t>
      </w:r>
      <w:proofErr w:type="spellEnd"/>
      <w:r>
        <w:t xml:space="preserve">, H., Swearingen, K., Cable, M.-C., Samson, L. (2025). Sound, touch, and place: An exploratory study of the potential for emotive cognitive mapping </w:t>
      </w:r>
      <w:proofErr w:type="gramStart"/>
      <w:r>
        <w:t>through the use of</w:t>
      </w:r>
      <w:proofErr w:type="gramEnd"/>
      <w:r>
        <w:t xml:space="preserve"> audio description and tactile objects at a national memorial. </w:t>
      </w:r>
      <w:proofErr w:type="spellStart"/>
      <w:r>
        <w:t>Anglica</w:t>
      </w:r>
      <w:proofErr w:type="spellEnd"/>
      <w:r>
        <w:t xml:space="preserve">: An International Journal of English Studies, 34(2), 106–132. </w:t>
      </w:r>
      <w:hyperlink r:id="rId18">
        <w:r>
          <w:rPr>
            <w:color w:val="0000FF"/>
            <w:u w:val="single"/>
          </w:rPr>
          <w:t>https://doi.org/10.7311/0860-5734.34.2.06</w:t>
        </w:r>
      </w:hyperlink>
    </w:p>
    <w:p w14:paraId="64249AF1" w14:textId="77777777" w:rsidR="004B487C" w:rsidRDefault="00000000">
      <w:pPr>
        <w:spacing w:after="0" w:line="480" w:lineRule="auto"/>
        <w:ind w:left="720" w:hanging="720"/>
      </w:pPr>
      <w:proofErr w:type="spellStart"/>
      <w:r>
        <w:t>Perego</w:t>
      </w:r>
      <w:proofErr w:type="spellEnd"/>
      <w:r>
        <w:t xml:space="preserve">, E. (2018). Audio description: Evolving recommendations for usable, effective, and enjoyable practices. In L. Perez-Gonzalez (Ed.), </w:t>
      </w:r>
      <w:r>
        <w:rPr>
          <w:i/>
          <w:iCs/>
        </w:rPr>
        <w:t>The Routledge handbook of audiovisual translation</w:t>
      </w:r>
      <w:r>
        <w:t xml:space="preserve"> (pp. 114–129). Routledge.</w:t>
      </w:r>
    </w:p>
    <w:p w14:paraId="6B590D5B" w14:textId="77777777" w:rsidR="004B487C" w:rsidRDefault="00000000">
      <w:pPr>
        <w:spacing w:after="0" w:line="480" w:lineRule="auto"/>
        <w:ind w:left="720" w:hanging="720"/>
      </w:pPr>
      <w:r>
        <w:t xml:space="preserve">Small, J., Darcy, S., &amp; Packer, T. (2012). The embodied tourist experiences of people with vision impairment: Management implications beyond the visual gaze. </w:t>
      </w:r>
      <w:r>
        <w:rPr>
          <w:i/>
          <w:iCs/>
        </w:rPr>
        <w:t>Tourism Management, 33</w:t>
      </w:r>
      <w:r>
        <w:t>(4), 941–950.</w:t>
      </w:r>
    </w:p>
    <w:p w14:paraId="52624BED" w14:textId="77777777" w:rsidR="004B487C" w:rsidRDefault="00000000">
      <w:pPr>
        <w:spacing w:after="0" w:line="480" w:lineRule="auto"/>
        <w:ind w:left="720" w:hanging="720"/>
      </w:pPr>
      <w:r>
        <w:t xml:space="preserve">Snyder, J. (2020). </w:t>
      </w:r>
      <w:r>
        <w:rPr>
          <w:i/>
          <w:iCs/>
        </w:rPr>
        <w:t>The visual made verbal: A comprehensive training manual and guide to the history and applications of audio description</w:t>
      </w:r>
      <w:r>
        <w:t>. Academic Publishing.</w:t>
      </w:r>
    </w:p>
    <w:p w14:paraId="2007A448" w14:textId="77777777" w:rsidR="004B487C" w:rsidRDefault="00000000">
      <w:pPr>
        <w:spacing w:after="0" w:line="480" w:lineRule="auto"/>
        <w:ind w:left="720" w:hanging="720"/>
      </w:pPr>
      <w:proofErr w:type="spellStart"/>
      <w:r>
        <w:lastRenderedPageBreak/>
        <w:t>Tikao</w:t>
      </w:r>
      <w:proofErr w:type="spellEnd"/>
      <w:r>
        <w:t xml:space="preserve">, K., Higgins, N., Phillips, H., &amp; Cowan, C. (2009). </w:t>
      </w:r>
      <w:proofErr w:type="spellStart"/>
      <w:r>
        <w:t>Kāpo</w:t>
      </w:r>
      <w:proofErr w:type="spellEnd"/>
      <w:r>
        <w:t xml:space="preserve"> (blind) Māori in the ancient world. </w:t>
      </w:r>
      <w:r>
        <w:rPr>
          <w:i/>
          <w:iCs/>
        </w:rPr>
        <w:t>MAI Review, 2</w:t>
      </w:r>
      <w:r>
        <w:t>(4), 1–14.</w:t>
      </w:r>
    </w:p>
    <w:p w14:paraId="6036282F" w14:textId="77777777" w:rsidR="004B487C" w:rsidRDefault="00000000">
      <w:pPr>
        <w:spacing w:after="0" w:line="480" w:lineRule="auto"/>
        <w:ind w:left="720" w:hanging="720"/>
        <w:rPr>
          <w:sz w:val="22"/>
          <w:szCs w:val="22"/>
        </w:rPr>
      </w:pPr>
      <w:r>
        <w:t xml:space="preserve">World Blind Union, &amp; American Council of the Blind: Audio Description Project. (2018, November). </w:t>
      </w:r>
      <w:r>
        <w:rPr>
          <w:i/>
          <w:iCs/>
        </w:rPr>
        <w:t>Survey of worldwide audio description: Final report</w:t>
      </w:r>
      <w:r>
        <w:t xml:space="preserve">. </w:t>
      </w:r>
      <w:hyperlink r:id="rId19">
        <w:r>
          <w:rPr>
            <w:color w:val="0000FF"/>
            <w:sz w:val="22"/>
            <w:szCs w:val="22"/>
            <w:u w:val="single"/>
          </w:rPr>
          <w:t>https://adp.acb.org/docs/WBU-ACB%20%20AD%20Survey-FINAL%20REPORT.pdf</w:t>
        </w:r>
      </w:hyperlink>
    </w:p>
    <w:p w14:paraId="18B07E99" w14:textId="77777777" w:rsidR="004B487C" w:rsidRDefault="00000000">
      <w:pPr>
        <w:spacing w:after="0" w:line="480" w:lineRule="auto"/>
        <w:ind w:left="720" w:hanging="720"/>
      </w:pPr>
      <w:r>
        <w:t>World Health Organization. (2025). </w:t>
      </w:r>
      <w:r>
        <w:rPr>
          <w:i/>
          <w:iCs/>
        </w:rPr>
        <w:t>Blindness and Vision Impairment. </w:t>
      </w:r>
      <w:hyperlink r:id="rId20" w:anchor="tab=tab_1">
        <w:r>
          <w:rPr>
            <w:color w:val="0000FF"/>
            <w:u w:val="single"/>
          </w:rPr>
          <w:t>https://www.who.int/health-topics/blindness-and-vision-loss#tab=tab_1</w:t>
        </w:r>
      </w:hyperlink>
    </w:p>
    <w:p w14:paraId="45F58029" w14:textId="77777777" w:rsidR="004B487C" w:rsidRDefault="00000000">
      <w:pPr>
        <w:spacing w:after="0" w:line="480" w:lineRule="auto"/>
        <w:ind w:left="720" w:hanging="720"/>
      </w:pPr>
      <w:r>
        <w:t xml:space="preserve">Yau, M. K. S., McKercher, B., &amp; Packer, T. L. (2004). Traveling with a disability: More than an access issue. </w:t>
      </w:r>
      <w:r>
        <w:rPr>
          <w:i/>
          <w:iCs/>
        </w:rPr>
        <w:t>Annals of Tourism Research, 31</w:t>
      </w:r>
      <w:r>
        <w:t>(4), 946–960.</w:t>
      </w:r>
    </w:p>
    <w:p w14:paraId="764270CB" w14:textId="77777777" w:rsidR="004B487C" w:rsidRDefault="004B487C">
      <w:pPr>
        <w:spacing w:line="480" w:lineRule="auto"/>
      </w:pPr>
    </w:p>
    <w:p w14:paraId="6DEE1C05" w14:textId="77777777" w:rsidR="004B487C" w:rsidRDefault="004B487C">
      <w:pPr>
        <w:pStyle w:val="Heading1"/>
      </w:pPr>
    </w:p>
    <w:p w14:paraId="62B5EAD1" w14:textId="77777777" w:rsidR="004B487C" w:rsidRDefault="004B487C">
      <w:pPr>
        <w:spacing w:line="480" w:lineRule="auto"/>
        <w:jc w:val="center"/>
        <w:rPr>
          <w:b/>
          <w:bCs/>
        </w:rPr>
      </w:pPr>
    </w:p>
    <w:p w14:paraId="77FE4FA1" w14:textId="77777777" w:rsidR="004B487C" w:rsidRDefault="004B487C">
      <w:pPr>
        <w:spacing w:line="480" w:lineRule="auto"/>
        <w:jc w:val="center"/>
        <w:rPr>
          <w:b/>
          <w:bCs/>
        </w:rPr>
      </w:pPr>
    </w:p>
    <w:p w14:paraId="7241CF6B" w14:textId="77777777" w:rsidR="004B487C" w:rsidRDefault="004B487C">
      <w:pPr>
        <w:spacing w:line="480" w:lineRule="auto"/>
        <w:ind w:firstLine="0"/>
      </w:pPr>
    </w:p>
    <w:p w14:paraId="61BF2658" w14:textId="77777777" w:rsidR="004B487C" w:rsidRDefault="004B487C">
      <w:pPr>
        <w:spacing w:line="480" w:lineRule="auto"/>
        <w:ind w:firstLine="0"/>
      </w:pPr>
    </w:p>
    <w:p w14:paraId="7D2EDC26" w14:textId="77777777" w:rsidR="004B487C" w:rsidRDefault="004B487C">
      <w:pPr>
        <w:spacing w:line="480" w:lineRule="auto"/>
        <w:ind w:firstLine="0"/>
      </w:pPr>
    </w:p>
    <w:p w14:paraId="09C0AA60" w14:textId="77777777" w:rsidR="004B487C" w:rsidRDefault="004B487C">
      <w:pPr>
        <w:spacing w:line="480" w:lineRule="auto"/>
        <w:ind w:firstLine="0"/>
      </w:pPr>
    </w:p>
    <w:p w14:paraId="3F54CF0F" w14:textId="77777777" w:rsidR="004B487C" w:rsidRDefault="00000000">
      <w:pPr>
        <w:pStyle w:val="Heading1"/>
        <w:jc w:val="left"/>
      </w:pPr>
      <w:r>
        <w:rPr>
          <w:noProof/>
          <w:color w:val="000000"/>
        </w:rPr>
        <w:drawing>
          <wp:inline distT="0" distB="0" distL="0" distR="0" wp14:anchorId="33985668" wp14:editId="76379318">
            <wp:extent cx="1016000" cy="186055"/>
            <wp:effectExtent l="0" t="0" r="0" b="0"/>
            <wp:docPr id="2" name="image1.png" descr="Creative Commons CC:BY logo"/>
            <wp:cNvGraphicFramePr/>
            <a:graphic xmlns:a="http://schemas.openxmlformats.org/drawingml/2006/main">
              <a:graphicData uri="http://schemas.openxmlformats.org/drawingml/2006/picture">
                <pic:pic xmlns:pic="http://schemas.openxmlformats.org/drawingml/2006/picture">
                  <pic:nvPicPr>
                    <pic:cNvPr id="2" name="image1.png" descr="Creative Commons CC:BY logo"/>
                    <pic:cNvPicPr preferRelativeResize="0"/>
                  </pic:nvPicPr>
                  <pic:blipFill>
                    <a:blip r:embed="rId7"/>
                    <a:srcRect/>
                    <a:stretch>
                      <a:fillRect/>
                    </a:stretch>
                  </pic:blipFill>
                  <pic:spPr>
                    <a:xfrm>
                      <a:off x="0" y="0"/>
                      <a:ext cx="1016000" cy="186055"/>
                    </a:xfrm>
                    <a:prstGeom prst="rect">
                      <a:avLst/>
                    </a:prstGeom>
                    <a:ln/>
                  </pic:spPr>
                </pic:pic>
              </a:graphicData>
            </a:graphic>
          </wp:inline>
        </w:drawing>
      </w:r>
      <w:r>
        <w:rPr>
          <w:color w:val="000000"/>
        </w:rPr>
        <w:t xml:space="preserve"> </w:t>
      </w:r>
      <w:r>
        <w:t xml:space="preserve">A Genealogy of the Council for Exceptional Children Advanced Special Education Preparation Standards </w:t>
      </w:r>
      <w:r>
        <w:rPr>
          <w:b w:val="0"/>
          <w:bCs w:val="0"/>
        </w:rPr>
        <w:t>b</w:t>
      </w:r>
      <w:r w:rsidRPr="008938D0">
        <w:rPr>
          <w:b w:val="0"/>
          <w:bCs w:val="0"/>
        </w:rPr>
        <w:t xml:space="preserve">y Laura N. </w:t>
      </w:r>
      <w:proofErr w:type="spellStart"/>
      <w:r w:rsidRPr="008938D0">
        <w:rPr>
          <w:b w:val="0"/>
          <w:bCs w:val="0"/>
        </w:rPr>
        <w:t>Sarchet</w:t>
      </w:r>
      <w:proofErr w:type="spellEnd"/>
      <w:r w:rsidRPr="008938D0">
        <w:rPr>
          <w:b w:val="0"/>
          <w:bCs w:val="0"/>
        </w:rPr>
        <w:t xml:space="preserve"> </w:t>
      </w:r>
      <w:hyperlink r:id="rId21">
        <w:r w:rsidRPr="008938D0">
          <w:rPr>
            <w:b w:val="0"/>
            <w:bCs w:val="0"/>
            <w:u w:val="single"/>
          </w:rPr>
          <w:t>https://rdsjournal.org/index.php/journal/article/vie</w:t>
        </w:r>
      </w:hyperlink>
      <w:hyperlink r:id="rId22">
        <w:r w:rsidRPr="008938D0">
          <w:rPr>
            <w:b w:val="0"/>
            <w:bCs w:val="0"/>
            <w:u w:val="single"/>
          </w:rPr>
          <w:t>w/</w:t>
        </w:r>
      </w:hyperlink>
      <w:r w:rsidRPr="008938D0">
        <w:rPr>
          <w:b w:val="0"/>
          <w:bCs w:val="0"/>
          <w:u w:val="single"/>
        </w:rPr>
        <w:t>1221</w:t>
      </w:r>
      <w:r w:rsidRPr="008938D0">
        <w:rPr>
          <w:b w:val="0"/>
          <w:bCs w:val="0"/>
        </w:rPr>
        <w:t xml:space="preserve"> is licensed under a</w:t>
      </w:r>
      <w:hyperlink r:id="rId23">
        <w:r w:rsidRPr="008938D0">
          <w:rPr>
            <w:b w:val="0"/>
            <w:bCs w:val="0"/>
            <w:u w:val="single"/>
          </w:rPr>
          <w:t xml:space="preserve"> </w:t>
        </w:r>
      </w:hyperlink>
      <w:hyperlink r:id="rId24">
        <w:r w:rsidRPr="008938D0">
          <w:rPr>
            <w:b w:val="0"/>
            <w:bCs w:val="0"/>
            <w:u w:val="single"/>
          </w:rPr>
          <w:t>Creative Commons Attribution 4.0 International License</w:t>
        </w:r>
      </w:hyperlink>
      <w:r w:rsidRPr="008938D0">
        <w:rPr>
          <w:b w:val="0"/>
          <w:bCs w:val="0"/>
        </w:rPr>
        <w:t xml:space="preserve"> </w:t>
      </w:r>
      <w:r w:rsidRPr="008938D0">
        <w:rPr>
          <w:b w:val="0"/>
          <w:bCs w:val="0"/>
          <w:color w:val="000000"/>
        </w:rPr>
        <w:t xml:space="preserve">based on a work at </w:t>
      </w:r>
      <w:hyperlink r:id="rId25">
        <w:r w:rsidRPr="008938D0">
          <w:rPr>
            <w:b w:val="0"/>
            <w:bCs w:val="0"/>
            <w:color w:val="0000FF"/>
            <w:u w:val="single"/>
          </w:rPr>
          <w:t>https://rdsjournal.org</w:t>
        </w:r>
      </w:hyperlink>
      <w:r w:rsidRPr="008938D0">
        <w:rPr>
          <w:b w:val="0"/>
          <w:bCs w:val="0"/>
          <w:color w:val="000000"/>
        </w:rPr>
        <w:t>.</w:t>
      </w:r>
    </w:p>
    <w:p w14:paraId="677A973A" w14:textId="77777777" w:rsidR="004B487C" w:rsidRDefault="004B487C">
      <w:pPr>
        <w:pStyle w:val="Heading1"/>
        <w:keepNext w:val="0"/>
        <w:keepLines w:val="0"/>
        <w:spacing w:after="0" w:line="480" w:lineRule="auto"/>
        <w:jc w:val="left"/>
      </w:pPr>
    </w:p>
    <w:p w14:paraId="650871D2" w14:textId="77777777" w:rsidR="004B487C" w:rsidRDefault="004B487C"/>
    <w:p w14:paraId="7806BCC7" w14:textId="77777777" w:rsidR="00833A20" w:rsidRDefault="00833A20">
      <w:pPr>
        <w:ind w:firstLine="0"/>
        <w:jc w:val="center"/>
        <w:rPr>
          <w:rFonts w:ascii="Arial" w:eastAsia="Arial" w:hAnsi="Arial" w:cs="Arial"/>
          <w:b/>
          <w:bCs/>
        </w:rPr>
      </w:pPr>
    </w:p>
    <w:p w14:paraId="100378C2" w14:textId="10506A32" w:rsidR="004B487C" w:rsidRDefault="00000000">
      <w:pPr>
        <w:ind w:firstLine="0"/>
        <w:jc w:val="center"/>
      </w:pPr>
      <w:r>
        <w:rPr>
          <w:rFonts w:ascii="Arial" w:eastAsia="Arial" w:hAnsi="Arial" w:cs="Arial"/>
          <w:b/>
          <w:bCs/>
        </w:rPr>
        <w:t>Research Articles and Essays</w:t>
      </w:r>
    </w:p>
    <w:p w14:paraId="703C5A6E" w14:textId="77777777" w:rsidR="004B487C" w:rsidRDefault="004B487C">
      <w:pPr>
        <w:pStyle w:val="Heading1"/>
        <w:keepNext w:val="0"/>
        <w:keepLines w:val="0"/>
        <w:spacing w:after="0" w:line="480" w:lineRule="auto"/>
        <w:jc w:val="left"/>
      </w:pPr>
    </w:p>
    <w:p w14:paraId="56661164" w14:textId="77777777" w:rsidR="004B487C" w:rsidRDefault="004B487C">
      <w:pPr>
        <w:pStyle w:val="Heading1"/>
        <w:keepNext w:val="0"/>
        <w:keepLines w:val="0"/>
        <w:spacing w:after="0" w:line="480" w:lineRule="auto"/>
      </w:pPr>
    </w:p>
    <w:p w14:paraId="24B604AB" w14:textId="4D3BA196" w:rsidR="004B487C" w:rsidRDefault="00000000">
      <w:pPr>
        <w:pStyle w:val="Heading1"/>
        <w:keepNext w:val="0"/>
        <w:keepLines w:val="0"/>
        <w:spacing w:after="0" w:line="480" w:lineRule="auto"/>
      </w:pPr>
      <w:r>
        <w:t xml:space="preserve">Interview Survey on Provision of Assistive Technology Services for Students </w:t>
      </w:r>
      <w:r w:rsidR="000B172D">
        <w:t>w</w:t>
      </w:r>
      <w:r>
        <w:t>ith Disabilities Under Covid-19 Pandemic</w:t>
      </w:r>
    </w:p>
    <w:p w14:paraId="75DDD7B4" w14:textId="77777777" w:rsidR="004B487C" w:rsidRDefault="004B487C"/>
    <w:p w14:paraId="5AA90E73" w14:textId="77777777" w:rsidR="004B487C" w:rsidRDefault="004B487C">
      <w:pPr>
        <w:pStyle w:val="Heading1"/>
        <w:keepNext w:val="0"/>
        <w:keepLines w:val="0"/>
        <w:spacing w:after="0" w:line="480" w:lineRule="auto"/>
        <w:rPr>
          <w:b w:val="0"/>
          <w:bCs w:val="0"/>
        </w:rPr>
      </w:pPr>
    </w:p>
    <w:p w14:paraId="229C2793" w14:textId="77777777" w:rsidR="004B487C" w:rsidRDefault="00000000">
      <w:pPr>
        <w:pStyle w:val="Heading1"/>
        <w:keepNext w:val="0"/>
        <w:keepLines w:val="0"/>
        <w:spacing w:after="0" w:line="480" w:lineRule="auto"/>
        <w:rPr>
          <w:b w:val="0"/>
          <w:bCs w:val="0"/>
        </w:rPr>
      </w:pPr>
      <w:r>
        <w:rPr>
          <w:b w:val="0"/>
          <w:bCs w:val="0"/>
        </w:rPr>
        <w:t xml:space="preserve"> Takashi Watanabe</w:t>
      </w:r>
      <w:r>
        <w:rPr>
          <w:b w:val="0"/>
          <w:bCs w:val="0"/>
          <w:vertAlign w:val="superscript"/>
        </w:rPr>
        <w:t>1</w:t>
      </w:r>
      <w:r>
        <w:rPr>
          <w:b w:val="0"/>
          <w:bCs w:val="0"/>
        </w:rPr>
        <w:t xml:space="preserve">, Hiroyuki </w:t>
      </w:r>
      <w:proofErr w:type="spellStart"/>
      <w:r>
        <w:rPr>
          <w:b w:val="0"/>
          <w:bCs w:val="0"/>
        </w:rPr>
        <w:t>Fujii</w:t>
      </w:r>
      <w:proofErr w:type="spellEnd"/>
      <w:r>
        <w:rPr>
          <w:b w:val="0"/>
          <w:bCs w:val="0"/>
          <w:vertAlign w:val="superscript"/>
        </w:rPr>
        <w:t xml:space="preserve"> 2</w:t>
      </w:r>
      <w:r>
        <w:rPr>
          <w:b w:val="0"/>
          <w:bCs w:val="0"/>
        </w:rPr>
        <w:t xml:space="preserve">, Tomoko </w:t>
      </w:r>
      <w:proofErr w:type="spellStart"/>
      <w:r>
        <w:rPr>
          <w:b w:val="0"/>
          <w:bCs w:val="0"/>
        </w:rPr>
        <w:t>Hosho</w:t>
      </w:r>
      <w:proofErr w:type="spellEnd"/>
      <w:r>
        <w:rPr>
          <w:b w:val="0"/>
          <w:bCs w:val="0"/>
          <w:vertAlign w:val="superscript"/>
        </w:rPr>
        <w:t xml:space="preserve"> 3</w:t>
      </w:r>
      <w:r>
        <w:rPr>
          <w:b w:val="0"/>
          <w:bCs w:val="0"/>
        </w:rPr>
        <w:t xml:space="preserve">, Yuji </w:t>
      </w:r>
      <w:proofErr w:type="spellStart"/>
      <w:r>
        <w:rPr>
          <w:b w:val="0"/>
          <w:bCs w:val="0"/>
        </w:rPr>
        <w:t>Asaishi</w:t>
      </w:r>
      <w:proofErr w:type="spellEnd"/>
      <w:r>
        <w:rPr>
          <w:b w:val="0"/>
          <w:bCs w:val="0"/>
          <w:vertAlign w:val="superscript"/>
        </w:rPr>
        <w:t xml:space="preserve"> 4</w:t>
      </w:r>
      <w:r>
        <w:rPr>
          <w:b w:val="0"/>
          <w:bCs w:val="0"/>
        </w:rPr>
        <w:t xml:space="preserve">, </w:t>
      </w:r>
    </w:p>
    <w:p w14:paraId="5BA6E50D" w14:textId="77777777" w:rsidR="004B487C" w:rsidRDefault="00000000">
      <w:pPr>
        <w:pStyle w:val="Heading1"/>
        <w:keepNext w:val="0"/>
        <w:keepLines w:val="0"/>
        <w:spacing w:after="0" w:line="480" w:lineRule="auto"/>
        <w:rPr>
          <w:b w:val="0"/>
          <w:bCs w:val="0"/>
          <w:vertAlign w:val="superscript"/>
        </w:rPr>
      </w:pPr>
      <w:r>
        <w:rPr>
          <w:b w:val="0"/>
          <w:bCs w:val="0"/>
        </w:rPr>
        <w:t>and Mamoru Iwabuchi</w:t>
      </w:r>
      <w:r>
        <w:rPr>
          <w:b w:val="0"/>
          <w:bCs w:val="0"/>
          <w:vertAlign w:val="superscript"/>
        </w:rPr>
        <w:t xml:space="preserve"> 5</w:t>
      </w:r>
    </w:p>
    <w:p w14:paraId="2CAE1BD6" w14:textId="77777777" w:rsidR="004B487C" w:rsidRDefault="00000000">
      <w:pPr>
        <w:pStyle w:val="Heading1"/>
        <w:keepNext w:val="0"/>
        <w:keepLines w:val="0"/>
        <w:spacing w:after="0" w:line="480" w:lineRule="auto"/>
        <w:rPr>
          <w:b w:val="0"/>
          <w:bCs w:val="0"/>
        </w:rPr>
      </w:pPr>
      <w:r>
        <w:rPr>
          <w:b w:val="0"/>
          <w:bCs w:val="0"/>
          <w:vertAlign w:val="superscript"/>
        </w:rPr>
        <w:t xml:space="preserve">1 </w:t>
      </w:r>
      <w:r>
        <w:rPr>
          <w:b w:val="0"/>
          <w:bCs w:val="0"/>
        </w:rPr>
        <w:t xml:space="preserve">Department of Human Care Engineering, Health Sciences, Nihon </w:t>
      </w:r>
      <w:proofErr w:type="spellStart"/>
      <w:r>
        <w:rPr>
          <w:b w:val="0"/>
          <w:bCs w:val="0"/>
        </w:rPr>
        <w:t>Fukushi</w:t>
      </w:r>
      <w:proofErr w:type="spellEnd"/>
      <w:r>
        <w:rPr>
          <w:b w:val="0"/>
          <w:bCs w:val="0"/>
        </w:rPr>
        <w:t xml:space="preserve"> University</w:t>
      </w:r>
    </w:p>
    <w:p w14:paraId="2E6E9ABD" w14:textId="77777777" w:rsidR="004B487C" w:rsidRDefault="00000000">
      <w:pPr>
        <w:pStyle w:val="Heading1"/>
        <w:keepNext w:val="0"/>
        <w:keepLines w:val="0"/>
        <w:spacing w:after="0" w:line="480" w:lineRule="auto"/>
        <w:rPr>
          <w:b w:val="0"/>
          <w:bCs w:val="0"/>
        </w:rPr>
      </w:pPr>
      <w:r>
        <w:rPr>
          <w:b w:val="0"/>
          <w:bCs w:val="0"/>
          <w:vertAlign w:val="superscript"/>
        </w:rPr>
        <w:t xml:space="preserve">2 </w:t>
      </w:r>
      <w:r>
        <w:rPr>
          <w:b w:val="0"/>
          <w:bCs w:val="0"/>
        </w:rPr>
        <w:t>School of Social Work, Nagano University</w:t>
      </w:r>
    </w:p>
    <w:p w14:paraId="64330EC3" w14:textId="77777777" w:rsidR="004B487C" w:rsidRDefault="00000000">
      <w:pPr>
        <w:pStyle w:val="Heading1"/>
        <w:keepNext w:val="0"/>
        <w:keepLines w:val="0"/>
        <w:spacing w:after="0" w:line="480" w:lineRule="auto"/>
        <w:rPr>
          <w:b w:val="0"/>
          <w:bCs w:val="0"/>
        </w:rPr>
      </w:pPr>
      <w:r>
        <w:rPr>
          <w:b w:val="0"/>
          <w:bCs w:val="0"/>
          <w:vertAlign w:val="superscript"/>
        </w:rPr>
        <w:t xml:space="preserve">3   </w:t>
      </w:r>
      <w:r>
        <w:rPr>
          <w:b w:val="0"/>
          <w:bCs w:val="0"/>
        </w:rPr>
        <w:t xml:space="preserve">Department of Social Welfare, Nihon </w:t>
      </w:r>
      <w:proofErr w:type="spellStart"/>
      <w:r>
        <w:rPr>
          <w:b w:val="0"/>
          <w:bCs w:val="0"/>
        </w:rPr>
        <w:t>Fukushi</w:t>
      </w:r>
      <w:proofErr w:type="spellEnd"/>
      <w:r>
        <w:rPr>
          <w:b w:val="0"/>
          <w:bCs w:val="0"/>
        </w:rPr>
        <w:t xml:space="preserve"> University,</w:t>
      </w:r>
    </w:p>
    <w:p w14:paraId="15CA4155" w14:textId="77777777" w:rsidR="004B487C" w:rsidRDefault="00000000">
      <w:pPr>
        <w:pStyle w:val="Heading1"/>
        <w:keepNext w:val="0"/>
        <w:keepLines w:val="0"/>
        <w:spacing w:after="0" w:line="480" w:lineRule="auto"/>
        <w:rPr>
          <w:b w:val="0"/>
          <w:bCs w:val="0"/>
        </w:rPr>
      </w:pPr>
      <w:r>
        <w:rPr>
          <w:b w:val="0"/>
          <w:bCs w:val="0"/>
        </w:rPr>
        <w:t xml:space="preserve"> </w:t>
      </w:r>
      <w:r>
        <w:rPr>
          <w:b w:val="0"/>
          <w:bCs w:val="0"/>
          <w:vertAlign w:val="superscript"/>
        </w:rPr>
        <w:t xml:space="preserve">4 </w:t>
      </w:r>
      <w:r>
        <w:rPr>
          <w:b w:val="0"/>
          <w:bCs w:val="0"/>
        </w:rPr>
        <w:t xml:space="preserve">Healthcare Management, Nihon </w:t>
      </w:r>
      <w:proofErr w:type="spellStart"/>
      <w:r>
        <w:rPr>
          <w:b w:val="0"/>
          <w:bCs w:val="0"/>
        </w:rPr>
        <w:t>Fukushi</w:t>
      </w:r>
      <w:proofErr w:type="spellEnd"/>
      <w:r>
        <w:rPr>
          <w:b w:val="0"/>
          <w:bCs w:val="0"/>
        </w:rPr>
        <w:t xml:space="preserve"> University</w:t>
      </w:r>
    </w:p>
    <w:p w14:paraId="0B392257" w14:textId="77777777" w:rsidR="004B487C" w:rsidRDefault="00000000">
      <w:pPr>
        <w:pStyle w:val="Heading1"/>
        <w:keepNext w:val="0"/>
        <w:keepLines w:val="0"/>
        <w:spacing w:after="0" w:line="480" w:lineRule="auto"/>
        <w:rPr>
          <w:b w:val="0"/>
          <w:bCs w:val="0"/>
        </w:rPr>
      </w:pPr>
      <w:r>
        <w:rPr>
          <w:b w:val="0"/>
          <w:bCs w:val="0"/>
          <w:vertAlign w:val="superscript"/>
        </w:rPr>
        <w:t xml:space="preserve">5 </w:t>
      </w:r>
      <w:r>
        <w:rPr>
          <w:b w:val="0"/>
          <w:bCs w:val="0"/>
        </w:rPr>
        <w:t xml:space="preserve">School of Human Services, </w:t>
      </w:r>
      <w:proofErr w:type="spellStart"/>
      <w:r>
        <w:rPr>
          <w:b w:val="0"/>
          <w:bCs w:val="0"/>
        </w:rPr>
        <w:t>Waseda</w:t>
      </w:r>
      <w:proofErr w:type="spellEnd"/>
      <w:r>
        <w:rPr>
          <w:b w:val="0"/>
          <w:bCs w:val="0"/>
        </w:rPr>
        <w:t xml:space="preserve"> University</w:t>
      </w:r>
    </w:p>
    <w:p w14:paraId="29E70985" w14:textId="77777777" w:rsidR="004B487C" w:rsidRDefault="004B487C"/>
    <w:p w14:paraId="1F6509B6" w14:textId="77777777" w:rsidR="004B487C" w:rsidRDefault="004B487C"/>
    <w:p w14:paraId="02324F28" w14:textId="77777777" w:rsidR="004B487C" w:rsidRDefault="004B487C"/>
    <w:p w14:paraId="5F13624F" w14:textId="77777777" w:rsidR="004B487C" w:rsidRDefault="00000000">
      <w:pPr>
        <w:pStyle w:val="Heading1"/>
        <w:keepNext w:val="0"/>
        <w:keepLines w:val="0"/>
        <w:spacing w:before="480" w:after="120"/>
      </w:pPr>
      <w:bookmarkStart w:id="1" w:name="_5gogn5341h3y" w:colFirst="0" w:colLast="0"/>
      <w:bookmarkEnd w:id="1"/>
      <w:r>
        <w:t>Author Note</w:t>
      </w:r>
    </w:p>
    <w:p w14:paraId="05AF540F" w14:textId="77777777" w:rsidR="004B487C" w:rsidRDefault="00000000">
      <w:pPr>
        <w:spacing w:after="0" w:line="480" w:lineRule="auto"/>
      </w:pPr>
      <w:r>
        <w:t xml:space="preserve">This work was supported by a research grant from Nihon </w:t>
      </w:r>
      <w:proofErr w:type="spellStart"/>
      <w:r>
        <w:t>Fukushi</w:t>
      </w:r>
      <w:proofErr w:type="spellEnd"/>
      <w:r>
        <w:t xml:space="preserve"> University.</w:t>
      </w:r>
    </w:p>
    <w:p w14:paraId="32388862" w14:textId="3FCE6F69" w:rsidR="004B487C" w:rsidRDefault="00000000">
      <w:pPr>
        <w:spacing w:after="0" w:line="480" w:lineRule="auto"/>
        <w:ind w:firstLine="0"/>
      </w:pPr>
      <w:r>
        <w:t xml:space="preserve">Correspondence concerning this article should be addressed to Takashi Watanabe, Faculty of Health Sciences, Nihon </w:t>
      </w:r>
      <w:proofErr w:type="spellStart"/>
      <w:r>
        <w:t>Fukushi</w:t>
      </w:r>
      <w:proofErr w:type="spellEnd"/>
      <w:r>
        <w:t xml:space="preserve"> University, 26-2 </w:t>
      </w:r>
      <w:proofErr w:type="spellStart"/>
      <w:r>
        <w:t>Higashihaemi-cho</w:t>
      </w:r>
      <w:proofErr w:type="spellEnd"/>
      <w:r>
        <w:t xml:space="preserve">, </w:t>
      </w:r>
      <w:proofErr w:type="spellStart"/>
      <w:r>
        <w:t>Handa</w:t>
      </w:r>
      <w:proofErr w:type="spellEnd"/>
      <w:r>
        <w:t xml:space="preserve">, 4750012, Japan. </w:t>
      </w:r>
      <w:hyperlink r:id="rId26" w:history="1">
        <w:r w:rsidR="00833A20" w:rsidRPr="001223A3">
          <w:rPr>
            <w:rStyle w:val="Hyperlink"/>
          </w:rPr>
          <w:t>wata-t@n-fukushi.ac.jp</w:t>
        </w:r>
      </w:hyperlink>
      <w:r>
        <w:t>.</w:t>
      </w:r>
    </w:p>
    <w:p w14:paraId="7258DF79" w14:textId="77777777" w:rsidR="00833A20" w:rsidRDefault="00833A20">
      <w:pPr>
        <w:spacing w:after="0" w:line="480" w:lineRule="auto"/>
        <w:ind w:firstLine="0"/>
      </w:pPr>
    </w:p>
    <w:p w14:paraId="063654DE" w14:textId="77777777" w:rsidR="004B487C" w:rsidRDefault="00000000" w:rsidP="003A409D">
      <w:pPr>
        <w:spacing w:after="0" w:line="480" w:lineRule="auto"/>
        <w:ind w:firstLine="0"/>
        <w:jc w:val="center"/>
        <w:rPr>
          <w:b/>
          <w:bCs/>
        </w:rPr>
      </w:pPr>
      <w:r>
        <w:rPr>
          <w:b/>
          <w:bCs/>
        </w:rPr>
        <w:lastRenderedPageBreak/>
        <w:t>Abstract</w:t>
      </w:r>
    </w:p>
    <w:p w14:paraId="3DD4F5A3" w14:textId="63CCADC9" w:rsidR="004B487C" w:rsidRPr="003A409D" w:rsidRDefault="00000000" w:rsidP="003A409D">
      <w:pPr>
        <w:tabs>
          <w:tab w:val="center" w:pos="4513"/>
        </w:tabs>
        <w:spacing w:after="0" w:line="480" w:lineRule="auto"/>
        <w:ind w:firstLine="0"/>
        <w:rPr>
          <w:b/>
          <w:bCs/>
        </w:rPr>
      </w:pPr>
      <w:r w:rsidRPr="003A409D">
        <w:rPr>
          <w:b/>
          <w:bCs/>
          <w:sz w:val="2"/>
          <w:szCs w:val="2"/>
        </w:rPr>
        <w:br/>
      </w:r>
      <w:r>
        <w:t xml:space="preserve"> Assistive technology services (ATSs) are essential for the provision, selection, acquisition, or use of accessible environments and assistive devices for students with disabilities. Additionally, ATSs require continuous support, as they include ongoing and dynamic processes. However, COVID-19-enforced “social distancing” has inhibited the crucial processes, despite the increasing needs for online learning environments and using ICT. To consider methods for ATSs to perform effectively and in a timely manner in the future, this study reports the results of an interview survey on how local facilities and special schools have implemented ATSs practices and resources during COVID-19 pandemic.</w:t>
      </w:r>
    </w:p>
    <w:p w14:paraId="2DE0467B" w14:textId="77777777" w:rsidR="004B487C" w:rsidRDefault="00000000" w:rsidP="003A409D">
      <w:pPr>
        <w:spacing w:after="0" w:line="480" w:lineRule="auto"/>
        <w:ind w:firstLine="0"/>
      </w:pPr>
      <w:r>
        <w:t>Semi-structured interviews were conducted at four regional assistive technology (AT) centers, two IT support centers for people with disabilities in communities, and five special schools in Japan. In all cases, remote AT consultations were conducted using videoconference software. Information obtained from the practices were categorized into seven items. The survey results suggest that hybrid ATSs benefit from remote access. Further studies are required to clarify the skills required by AT specialists in hybrid ATSs and to create training programs to learn remote equipment and visualization.</w:t>
      </w:r>
    </w:p>
    <w:p w14:paraId="0FFCB57A" w14:textId="77777777" w:rsidR="004B487C" w:rsidRDefault="00000000" w:rsidP="003A409D">
      <w:pPr>
        <w:spacing w:after="0" w:line="480" w:lineRule="auto"/>
      </w:pPr>
      <w:r>
        <w:rPr>
          <w:i/>
          <w:iCs/>
        </w:rPr>
        <w:t>Keywords:</w:t>
      </w:r>
      <w:r>
        <w:t xml:space="preserve"> Remote Assistive Technology Services; Multidisciplinary Collaboration; Supports for Students with Disabilities; Interprofessional Collaboration</w:t>
      </w:r>
    </w:p>
    <w:p w14:paraId="6CCAC629" w14:textId="77777777" w:rsidR="004B487C" w:rsidRDefault="004B487C">
      <w:pPr>
        <w:spacing w:after="0" w:line="480" w:lineRule="auto"/>
        <w:ind w:firstLine="0"/>
      </w:pPr>
    </w:p>
    <w:p w14:paraId="3A20FF9E" w14:textId="77777777" w:rsidR="004B487C" w:rsidRDefault="004B487C">
      <w:pPr>
        <w:spacing w:after="0" w:line="480" w:lineRule="auto"/>
        <w:ind w:firstLine="0"/>
      </w:pPr>
    </w:p>
    <w:p w14:paraId="1EFB1975" w14:textId="77777777" w:rsidR="004B487C" w:rsidRDefault="004B487C">
      <w:pPr>
        <w:spacing w:after="0" w:line="480" w:lineRule="auto"/>
        <w:ind w:firstLine="0"/>
        <w:jc w:val="center"/>
        <w:rPr>
          <w:b/>
          <w:bCs/>
        </w:rPr>
      </w:pPr>
    </w:p>
    <w:p w14:paraId="220C54CE" w14:textId="77777777" w:rsidR="004B487C" w:rsidRDefault="004B487C">
      <w:pPr>
        <w:spacing w:after="0" w:line="480" w:lineRule="auto"/>
        <w:ind w:firstLine="0"/>
        <w:jc w:val="center"/>
        <w:rPr>
          <w:b/>
          <w:bCs/>
        </w:rPr>
      </w:pPr>
    </w:p>
    <w:p w14:paraId="4E1E1842" w14:textId="77777777" w:rsidR="004B487C" w:rsidRDefault="004B487C">
      <w:pPr>
        <w:spacing w:after="0" w:line="480" w:lineRule="auto"/>
        <w:ind w:firstLine="0"/>
        <w:jc w:val="center"/>
        <w:rPr>
          <w:b/>
          <w:bCs/>
        </w:rPr>
      </w:pPr>
    </w:p>
    <w:p w14:paraId="6FF1A1A4" w14:textId="77777777" w:rsidR="00833A20" w:rsidRDefault="00833A20">
      <w:pPr>
        <w:spacing w:after="0" w:line="480" w:lineRule="auto"/>
        <w:ind w:firstLine="0"/>
        <w:jc w:val="center"/>
        <w:rPr>
          <w:b/>
          <w:bCs/>
        </w:rPr>
      </w:pPr>
    </w:p>
    <w:p w14:paraId="4AC3E2D8" w14:textId="7F1DFB1D" w:rsidR="004B487C" w:rsidRDefault="00000000">
      <w:pPr>
        <w:spacing w:after="0" w:line="480" w:lineRule="auto"/>
        <w:ind w:firstLine="0"/>
        <w:jc w:val="center"/>
        <w:rPr>
          <w:b/>
          <w:bCs/>
        </w:rPr>
      </w:pPr>
      <w:r>
        <w:rPr>
          <w:b/>
          <w:bCs/>
        </w:rPr>
        <w:lastRenderedPageBreak/>
        <w:t xml:space="preserve">Interview Survey </w:t>
      </w:r>
      <w:proofErr w:type="gramStart"/>
      <w:r>
        <w:rPr>
          <w:b/>
          <w:bCs/>
        </w:rPr>
        <w:t>On</w:t>
      </w:r>
      <w:proofErr w:type="gramEnd"/>
      <w:r>
        <w:rPr>
          <w:b/>
          <w:bCs/>
        </w:rPr>
        <w:t xml:space="preserve"> Provision Of Assistive Technology Services For Students </w:t>
      </w:r>
      <w:r w:rsidR="000B172D">
        <w:rPr>
          <w:b/>
          <w:bCs/>
        </w:rPr>
        <w:t>w</w:t>
      </w:r>
      <w:r>
        <w:rPr>
          <w:b/>
          <w:bCs/>
        </w:rPr>
        <w:t>ith Disabilities Under Covid-19 Pandemic</w:t>
      </w:r>
    </w:p>
    <w:p w14:paraId="57E25082" w14:textId="77777777" w:rsidR="004B487C" w:rsidRDefault="00000000">
      <w:pPr>
        <w:spacing w:after="0" w:line="480" w:lineRule="auto"/>
      </w:pPr>
      <w:r>
        <w:t>Assistive technology services (ATSs) are essential for the provision, selection, acquisition, or use of assistive products for students with disabilities as well as accessible environmental arrangements (e.g., assistive devices and software, accessibility features of operating systems, and equipment for posture optimization) (S.2401-117th Congress, 2021-2022). ATSs must be conducted based on a process that initiates assessments that consider individual needs, as well as physical, psychological, and social factors. Federici et al. (2012) introduced an Assistive Technology (AT) assessment process flowchart as a basic process for ATSs. It indicates that clinical measures, functional analyses, and psycho-socio-environmental evaluations are essential assessment items in the initial step of ATSs. Next, assistive solutions are provided through user trials and evaluations by ATSs supporters in a multidisciplinary team. After providing the assistive solution, supporters involved in ATSs must monitor the client for short- or long-term use from the perspective of personal well-being, user satisfaction, and benefits from use. Then, depending on user needs and the monitoring situation, user support and follow-up are conducted by the ATSs supporters. ATSs are</w:t>
      </w:r>
      <w:r>
        <w:rPr>
          <w:color w:val="FF0000"/>
        </w:rPr>
        <w:t xml:space="preserve"> </w:t>
      </w:r>
      <w:r>
        <w:t>an ongoing and dynamic processes (CIDE, n.d.). The flow is not one-way, and often reverts to the previous step in response to the evaluation of each step. In other words, even after providing accessible environmental arrangements and assistive products, the steps of reassessment, readjustment, and reselection of ATSs are required depending on the individual needs of AT users.</w:t>
      </w:r>
    </w:p>
    <w:p w14:paraId="2037757A" w14:textId="77777777" w:rsidR="004B487C" w:rsidRDefault="00000000">
      <w:pPr>
        <w:spacing w:after="0" w:line="480" w:lineRule="auto"/>
      </w:pPr>
      <w:r>
        <w:t xml:space="preserve">Based on these models, Watanabe et al. (2022) proposed a typical process flow of ATSs consisting of seven steps (Figure 1): “assessment,” “assistive technology (AT) proposal,” “AT user-trial,” “tailoring AT to the user,” “AT provision,” “user support,” and </w:t>
      </w:r>
      <w:r>
        <w:lastRenderedPageBreak/>
        <w:t>“follow up.” However, COVID-19-enforced “social distancing” has inhibited the crucial ATSs processes despite the increasing needs for online learning environments and ICT. Local communities and facilities have adopted various methods, such as remote ATSs, to address this problem (</w:t>
      </w:r>
      <w:proofErr w:type="spellStart"/>
      <w:r>
        <w:t>Easterseals</w:t>
      </w:r>
      <w:proofErr w:type="spellEnd"/>
      <w:r>
        <w:t xml:space="preserve">, n.d.). In DO-IT, Japan’s 2020 summer program (DO-IT Japan, n.d.), remote ATSs were conducted using online meeting software for two students with physical disabilities (Watanabe &amp; </w:t>
      </w:r>
      <w:proofErr w:type="spellStart"/>
      <w:r>
        <w:t>Matsukiyo</w:t>
      </w:r>
      <w:proofErr w:type="spellEnd"/>
      <w:r>
        <w:t xml:space="preserve">, 2021a; Watanabe, </w:t>
      </w:r>
      <w:proofErr w:type="spellStart"/>
      <w:r>
        <w:t>Matukiyo</w:t>
      </w:r>
      <w:proofErr w:type="spellEnd"/>
      <w:r>
        <w:t xml:space="preserve"> &amp; </w:t>
      </w:r>
      <w:proofErr w:type="spellStart"/>
      <w:r>
        <w:t>Okuyama</w:t>
      </w:r>
      <w:proofErr w:type="spellEnd"/>
      <w:r>
        <w:t>, 2021b). This study considered methods to ensure that the process of ATSs can perform effectively and in a timely manner by reporting the results of an interview survey on how local facilities have conducted ATSs with practice and resources.</w:t>
      </w:r>
    </w:p>
    <w:p w14:paraId="0AA29287" w14:textId="77777777" w:rsidR="004B487C" w:rsidRDefault="00000000">
      <w:pPr>
        <w:spacing w:after="0" w:line="360" w:lineRule="auto"/>
        <w:ind w:firstLine="0"/>
        <w:rPr>
          <w:b/>
          <w:bCs/>
        </w:rPr>
      </w:pPr>
      <w:r>
        <w:rPr>
          <w:b/>
          <w:bCs/>
        </w:rPr>
        <w:t xml:space="preserve">Figure 1 </w:t>
      </w:r>
    </w:p>
    <w:p w14:paraId="19DC0A48" w14:textId="77777777" w:rsidR="004B487C" w:rsidRDefault="00000000">
      <w:pPr>
        <w:spacing w:after="0" w:line="360" w:lineRule="auto"/>
        <w:ind w:firstLine="0"/>
        <w:rPr>
          <w:i/>
          <w:iCs/>
        </w:rPr>
      </w:pPr>
      <w:r>
        <w:rPr>
          <w:i/>
          <w:iCs/>
        </w:rPr>
        <w:t>Typical process flow for assistive technology service (ATS)</w:t>
      </w:r>
    </w:p>
    <w:p w14:paraId="29831957" w14:textId="77777777" w:rsidR="004B487C" w:rsidRDefault="00000000">
      <w:pPr>
        <w:spacing w:after="0" w:line="480" w:lineRule="auto"/>
        <w:ind w:firstLine="0"/>
        <w:jc w:val="center"/>
      </w:pPr>
      <w:r>
        <w:rPr>
          <w:noProof/>
        </w:rPr>
        <w:drawing>
          <wp:inline distT="114300" distB="114300" distL="114300" distR="114300" wp14:anchorId="45DE8F8D" wp14:editId="0635F2A3">
            <wp:extent cx="1690688" cy="342790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referRelativeResize="0"/>
                  </pic:nvPicPr>
                  <pic:blipFill>
                    <a:blip r:embed="rId27"/>
                    <a:srcRect/>
                    <a:stretch>
                      <a:fillRect/>
                    </a:stretch>
                  </pic:blipFill>
                  <pic:spPr>
                    <a:xfrm>
                      <a:off x="0" y="0"/>
                      <a:ext cx="1690688" cy="3427908"/>
                    </a:xfrm>
                    <a:prstGeom prst="rect">
                      <a:avLst/>
                    </a:prstGeom>
                    <a:ln/>
                  </pic:spPr>
                </pic:pic>
              </a:graphicData>
            </a:graphic>
          </wp:inline>
        </w:drawing>
      </w:r>
    </w:p>
    <w:p w14:paraId="256FE664" w14:textId="77777777" w:rsidR="004B487C" w:rsidRDefault="00000000">
      <w:pPr>
        <w:spacing w:after="0" w:line="480" w:lineRule="auto"/>
        <w:ind w:firstLine="0"/>
        <w:rPr>
          <w:b/>
          <w:bCs/>
        </w:rPr>
      </w:pPr>
      <w:r>
        <w:rPr>
          <w:i/>
          <w:iCs/>
        </w:rPr>
        <w:t>Image Description:</w:t>
      </w:r>
      <w:r>
        <w:t xml:space="preserve"> The image represents a typical process flow of assistive technology service (ATS). This flow consists of seven steps: assessment, assistive technology (AT) proposal, AT user-trial, tailoring AT to the user, AT provision, user support, and follow-up.</w:t>
      </w:r>
    </w:p>
    <w:p w14:paraId="50E63E41" w14:textId="77777777" w:rsidR="004B487C" w:rsidRDefault="00000000">
      <w:pPr>
        <w:spacing w:after="0" w:line="480" w:lineRule="auto"/>
        <w:ind w:firstLine="0"/>
        <w:jc w:val="center"/>
        <w:rPr>
          <w:b/>
          <w:bCs/>
        </w:rPr>
      </w:pPr>
      <w:r>
        <w:rPr>
          <w:b/>
          <w:bCs/>
        </w:rPr>
        <w:lastRenderedPageBreak/>
        <w:t>Methods</w:t>
      </w:r>
    </w:p>
    <w:p w14:paraId="2BEF18BC" w14:textId="77777777" w:rsidR="004B487C" w:rsidRDefault="00000000">
      <w:pPr>
        <w:spacing w:after="0" w:line="480" w:lineRule="auto"/>
      </w:pPr>
      <w:r>
        <w:t>This interview survey was conducted in facilities that provided continuous ATSs and special schools that implemented remote ATSs using an online meeting system with AT specialists in situations where social distancing had to be maintained to prevent COVID-19 infection. The interviewees were the people who have performed ATSs. The survey participants were directly involved in these ATSs. After obtaining consent to participate in the survey, semi-structured interviews were conducted at each facility and school to which the subjects belonged.</w:t>
      </w:r>
    </w:p>
    <w:p w14:paraId="0E94A4F7" w14:textId="77777777" w:rsidR="004B487C" w:rsidRDefault="00000000">
      <w:pPr>
        <w:spacing w:after="0" w:line="480" w:lineRule="auto"/>
        <w:ind w:firstLine="0"/>
      </w:pPr>
      <w:r>
        <w:t>The questions for facilities providing ATSs were as follows:</w:t>
      </w:r>
    </w:p>
    <w:p w14:paraId="778941D6" w14:textId="77777777" w:rsidR="004B487C" w:rsidRDefault="00000000">
      <w:pPr>
        <w:numPr>
          <w:ilvl w:val="0"/>
          <w:numId w:val="1"/>
        </w:numPr>
        <w:spacing w:after="0" w:line="480" w:lineRule="auto"/>
        <w:rPr>
          <w:i/>
          <w:iCs/>
        </w:rPr>
      </w:pPr>
      <w:r>
        <w:rPr>
          <w:i/>
          <w:iCs/>
        </w:rPr>
        <w:t>How did you continue your regular ATSs in situations where you had to maintain social distancing to prevent COVID-19 infection?</w:t>
      </w:r>
    </w:p>
    <w:p w14:paraId="67AFB217" w14:textId="77777777" w:rsidR="004B487C" w:rsidRDefault="00000000">
      <w:pPr>
        <w:numPr>
          <w:ilvl w:val="0"/>
          <w:numId w:val="1"/>
        </w:numPr>
        <w:spacing w:after="0" w:line="480" w:lineRule="auto"/>
        <w:rPr>
          <w:i/>
          <w:iCs/>
        </w:rPr>
      </w:pPr>
      <w:r>
        <w:rPr>
          <w:i/>
          <w:iCs/>
        </w:rPr>
        <w:t>When you could not provide ATSs in a regular manner, what kind of ways did you alternatively choose?</w:t>
      </w:r>
    </w:p>
    <w:p w14:paraId="5A50063A" w14:textId="77777777" w:rsidR="004B487C" w:rsidRDefault="00000000">
      <w:pPr>
        <w:numPr>
          <w:ilvl w:val="0"/>
          <w:numId w:val="1"/>
        </w:numPr>
        <w:spacing w:after="0" w:line="480" w:lineRule="auto"/>
        <w:rPr>
          <w:i/>
          <w:iCs/>
        </w:rPr>
      </w:pPr>
      <w:r>
        <w:rPr>
          <w:i/>
          <w:iCs/>
        </w:rPr>
        <w:t>What was the case like if an alternative method was not feasible?</w:t>
      </w:r>
    </w:p>
    <w:p w14:paraId="4B0BD229" w14:textId="77777777" w:rsidR="004B487C" w:rsidRDefault="00000000">
      <w:pPr>
        <w:numPr>
          <w:ilvl w:val="0"/>
          <w:numId w:val="1"/>
        </w:numPr>
        <w:spacing w:after="0" w:line="480" w:lineRule="auto"/>
        <w:rPr>
          <w:i/>
          <w:iCs/>
        </w:rPr>
      </w:pPr>
      <w:r>
        <w:rPr>
          <w:i/>
          <w:iCs/>
        </w:rPr>
        <w:t>Regardless of the need for maintaining social distancing or not, what kind of systems or tools are necessary to continue ATSs in the future?</w:t>
      </w:r>
    </w:p>
    <w:p w14:paraId="1F8A48BC" w14:textId="77777777" w:rsidR="004B487C" w:rsidRDefault="00000000">
      <w:pPr>
        <w:spacing w:after="0" w:line="480" w:lineRule="auto"/>
        <w:ind w:firstLine="0"/>
      </w:pPr>
      <w:r>
        <w:t>The questions for the special schools implementing remote ATSs using an online meeting system were as follows:</w:t>
      </w:r>
    </w:p>
    <w:p w14:paraId="171525F9" w14:textId="77777777" w:rsidR="004B487C" w:rsidRDefault="00000000">
      <w:pPr>
        <w:numPr>
          <w:ilvl w:val="0"/>
          <w:numId w:val="2"/>
        </w:numPr>
        <w:spacing w:after="0" w:line="480" w:lineRule="auto"/>
        <w:rPr>
          <w:i/>
          <w:iCs/>
        </w:rPr>
      </w:pPr>
      <w:r>
        <w:rPr>
          <w:i/>
          <w:iCs/>
        </w:rPr>
        <w:t>When implementing remote ATSs, what kind of environmental improvements have you organized, including human resources and equipment?</w:t>
      </w:r>
    </w:p>
    <w:p w14:paraId="215E747C" w14:textId="77777777" w:rsidR="004B487C" w:rsidRDefault="00000000">
      <w:pPr>
        <w:numPr>
          <w:ilvl w:val="0"/>
          <w:numId w:val="2"/>
        </w:numPr>
        <w:spacing w:after="0" w:line="480" w:lineRule="auto"/>
        <w:rPr>
          <w:i/>
          <w:iCs/>
        </w:rPr>
      </w:pPr>
      <w:r>
        <w:rPr>
          <w:i/>
          <w:iCs/>
        </w:rPr>
        <w:t>What are the advantages and disadvantages of remote ATSs compared with regular face-to-face ATSs?</w:t>
      </w:r>
    </w:p>
    <w:p w14:paraId="3FA78746" w14:textId="77777777" w:rsidR="004B487C" w:rsidRDefault="00000000">
      <w:pPr>
        <w:numPr>
          <w:ilvl w:val="0"/>
          <w:numId w:val="2"/>
        </w:numPr>
        <w:spacing w:after="0" w:line="480" w:lineRule="auto"/>
        <w:rPr>
          <w:i/>
          <w:iCs/>
        </w:rPr>
      </w:pPr>
      <w:r>
        <w:rPr>
          <w:i/>
          <w:iCs/>
        </w:rPr>
        <w:t>What cases could not be treated with the remote ATSs?  What are ways to compensate for this?</w:t>
      </w:r>
    </w:p>
    <w:p w14:paraId="18FD542F" w14:textId="77777777" w:rsidR="004B487C" w:rsidRDefault="00000000">
      <w:pPr>
        <w:numPr>
          <w:ilvl w:val="0"/>
          <w:numId w:val="2"/>
        </w:numPr>
        <w:spacing w:after="0" w:line="480" w:lineRule="auto"/>
        <w:rPr>
          <w:i/>
          <w:iCs/>
        </w:rPr>
      </w:pPr>
      <w:r>
        <w:rPr>
          <w:i/>
          <w:iCs/>
        </w:rPr>
        <w:lastRenderedPageBreak/>
        <w:t>Regardless of whether face-to-face or remote ATSs are used, what kind of systems or tools do you think useful in the future?</w:t>
      </w:r>
    </w:p>
    <w:p w14:paraId="49935B0D" w14:textId="77777777" w:rsidR="004B487C" w:rsidRDefault="00000000">
      <w:pPr>
        <w:spacing w:after="0" w:line="480" w:lineRule="auto"/>
      </w:pPr>
      <w:r>
        <w:t xml:space="preserve">The interviews were conducted by two or three of the authors at four regional AT centers, two IT support centers for people with disabilities in communities, and five special schools in Japan. There were 36 participants: 19 teachers, 5 occupational therapists, 3 physical therapists, 3 AT specialists, 2 medical doctors, 2 social workers, 1 caregiver, and 1 rehabilitation engineer. Written informed consent to participate in this survey was obtained from all participants. To avoid burdening the participants, each interview was limited to 60 minutes; if it was likely to exceed 60 minutes or the participants requested for it, consideration was given to either taking a sufficient break or conducting the interview on another day. Interviews were conducted in person at the facilities or schools to which the participants belonged. However, to prevent COVID-19 transmission, interviews were conducted using an online meeting system, depending on the circumstances or the participant's request. Each interview was recorded with audio and video to ensure the accuracy of the interview content. This study was approved by the Ethics Committee for Research on Human Subjects at the Nihon </w:t>
      </w:r>
      <w:proofErr w:type="spellStart"/>
      <w:r>
        <w:t>Fukushi</w:t>
      </w:r>
      <w:proofErr w:type="spellEnd"/>
      <w:r>
        <w:t xml:space="preserve"> University (approval number: 21-017-1).</w:t>
      </w:r>
    </w:p>
    <w:p w14:paraId="3518E29B" w14:textId="77777777" w:rsidR="004B487C" w:rsidRDefault="00000000">
      <w:pPr>
        <w:spacing w:after="0" w:line="480" w:lineRule="auto"/>
        <w:ind w:firstLine="0"/>
        <w:jc w:val="center"/>
        <w:rPr>
          <w:b/>
          <w:bCs/>
        </w:rPr>
      </w:pPr>
      <w:r>
        <w:rPr>
          <w:b/>
          <w:bCs/>
        </w:rPr>
        <w:t>Results</w:t>
      </w:r>
    </w:p>
    <w:p w14:paraId="16BA28D5" w14:textId="77777777" w:rsidR="004B487C" w:rsidRDefault="00000000">
      <w:pPr>
        <w:spacing w:after="0" w:line="480" w:lineRule="auto"/>
      </w:pPr>
      <w:r>
        <w:t>In all cases, remote AT consultations have been conducted using video conference software to maintain social distancing during COVID-19 pandemic. The clients have been accessed remotely. As for examples of “Alternative means for continuing regular ATSs,” the surveyed AT centers and the IT support centers provided online contents, such as hands-on webinars (Nagoya Assistive Technology Center, n.d.) and AT user reviews (Okinawa IT Support Center, n.d.).</w:t>
      </w:r>
    </w:p>
    <w:p w14:paraId="7EBD22A8" w14:textId="77777777" w:rsidR="004B487C" w:rsidRDefault="00000000">
      <w:pPr>
        <w:spacing w:after="0" w:line="480" w:lineRule="auto"/>
      </w:pPr>
      <w:r>
        <w:t xml:space="preserve">Regarding the “Advantages and disadvantages of remote ATSs in AT consultation,” </w:t>
      </w:r>
      <w:r>
        <w:lastRenderedPageBreak/>
        <w:t>interviewees described the differences between face-to-face ATSs and remote ATSs in the case of special schools. When conducting face-to-face ATSs, AT specialists attend special schools and provide ATSs to clients, who are AT users, their teachers, and the families (Figure 2). AT specialists include rehabilitation engineers, physical and occupational therapists, social workers, etc., who are familiar with AT. When providing ATSs, these AT specialists convincingly communicate while demonstrating the assistive devices in person and conduct trials with their clients. They also attempt to provide useful feedback that their clients have not noticed. They valued comfortable relationships and interactive information sharing with their clients to provide better ATSs.</w:t>
      </w:r>
    </w:p>
    <w:p w14:paraId="38E77879" w14:textId="77777777" w:rsidR="004B487C" w:rsidRDefault="00000000">
      <w:pPr>
        <w:spacing w:after="0" w:line="480" w:lineRule="auto"/>
      </w:pPr>
      <w:r>
        <w:t xml:space="preserve">Figure 3 illustrates a remote ATS situation. AT specialists remotely access on-site AT users and their teachers using video conference software (e.g., Zoom). Remote ATSs require several teachers to assume multiple roles, including camera operator, network support, and general teacher roles. AT specialists cannot step back and observe the AT users (i.e., clients) as they would in person. In other words, remote ATSs must consider solutions based only on visual or verbalized information. For example, in the case of individuals with physical disabilities, AT specialists need to assess body functions by touching the client to examine the degree of muscle power, muscle tone, trunk balance, condition of involuntary movement, etc. However, this information cannot be gathered through remote access. Even though the range of joint motion and active movement of clients can be observed, it is also difficult to understand active assistive or passive movement through a screen. </w:t>
      </w:r>
    </w:p>
    <w:p w14:paraId="230593F3" w14:textId="77777777" w:rsidR="004B487C" w:rsidRDefault="00000000">
      <w:pPr>
        <w:spacing w:after="0" w:line="480" w:lineRule="auto"/>
      </w:pPr>
      <w:r>
        <w:t>The interview survey showed that while remote access has its advantages, tools and techniques to share non-verbal information and measure visually unrecognizable movements of AT users through a screen are necessary.</w:t>
      </w:r>
    </w:p>
    <w:p w14:paraId="28098A86" w14:textId="77777777" w:rsidR="004B487C" w:rsidRDefault="004B487C">
      <w:pPr>
        <w:spacing w:after="0" w:line="480" w:lineRule="auto"/>
        <w:ind w:firstLine="0"/>
      </w:pPr>
    </w:p>
    <w:p w14:paraId="111407D5" w14:textId="77777777" w:rsidR="004B487C" w:rsidRDefault="00000000">
      <w:pPr>
        <w:spacing w:after="0" w:line="480" w:lineRule="auto"/>
        <w:ind w:firstLine="0"/>
      </w:pPr>
      <w:r>
        <w:lastRenderedPageBreak/>
        <w:t>Responses to the interview survey were categorized as follows:</w:t>
      </w:r>
    </w:p>
    <w:p w14:paraId="487D1EFD" w14:textId="77777777" w:rsidR="004B487C" w:rsidRDefault="00000000">
      <w:pPr>
        <w:numPr>
          <w:ilvl w:val="0"/>
          <w:numId w:val="3"/>
        </w:numPr>
        <w:spacing w:after="0" w:line="480" w:lineRule="auto"/>
      </w:pPr>
      <w:r>
        <w:t>Development of an online network and procurement of related equipment</w:t>
      </w:r>
    </w:p>
    <w:p w14:paraId="031ABAFD" w14:textId="77777777" w:rsidR="004B487C" w:rsidRDefault="00000000">
      <w:pPr>
        <w:numPr>
          <w:ilvl w:val="0"/>
          <w:numId w:val="3"/>
        </w:numPr>
        <w:spacing w:after="0" w:line="480" w:lineRule="auto"/>
      </w:pPr>
      <w:r>
        <w:t>Skill set of the on-site supporters with the AT users (i.e., the client)</w:t>
      </w:r>
    </w:p>
    <w:p w14:paraId="33841EAE" w14:textId="77777777" w:rsidR="004B487C" w:rsidRDefault="00000000">
      <w:pPr>
        <w:numPr>
          <w:ilvl w:val="0"/>
          <w:numId w:val="3"/>
        </w:numPr>
        <w:spacing w:after="0" w:line="480" w:lineRule="auto"/>
      </w:pPr>
      <w:r>
        <w:t>Skill set of the remote advisers</w:t>
      </w:r>
    </w:p>
    <w:p w14:paraId="6E99B77A" w14:textId="77777777" w:rsidR="004B487C" w:rsidRDefault="00000000">
      <w:pPr>
        <w:numPr>
          <w:ilvl w:val="0"/>
          <w:numId w:val="3"/>
        </w:numPr>
        <w:spacing w:after="0" w:line="480" w:lineRule="auto"/>
      </w:pPr>
      <w:r>
        <w:t>Effective means of remote communication</w:t>
      </w:r>
    </w:p>
    <w:p w14:paraId="1A20B1FE" w14:textId="77777777" w:rsidR="004B487C" w:rsidRDefault="00000000">
      <w:pPr>
        <w:numPr>
          <w:ilvl w:val="0"/>
          <w:numId w:val="3"/>
        </w:numPr>
        <w:spacing w:after="0" w:line="480" w:lineRule="auto"/>
      </w:pPr>
      <w:r>
        <w:t>Advantages and disadvantages of remote ATSs</w:t>
      </w:r>
    </w:p>
    <w:p w14:paraId="73591BB0" w14:textId="77777777" w:rsidR="004B487C" w:rsidRDefault="00000000">
      <w:pPr>
        <w:numPr>
          <w:ilvl w:val="0"/>
          <w:numId w:val="3"/>
        </w:numPr>
        <w:spacing w:after="0" w:line="480" w:lineRule="auto"/>
      </w:pPr>
      <w:r>
        <w:t>Loss of users’ opportunities to try out AT</w:t>
      </w:r>
    </w:p>
    <w:p w14:paraId="3C88148A" w14:textId="77777777" w:rsidR="004B487C" w:rsidRDefault="00000000">
      <w:pPr>
        <w:numPr>
          <w:ilvl w:val="0"/>
          <w:numId w:val="3"/>
        </w:numPr>
        <w:spacing w:after="0" w:line="480" w:lineRule="auto"/>
      </w:pPr>
      <w:r>
        <w:t>Alternative means for on-site ATSs</w:t>
      </w:r>
    </w:p>
    <w:p w14:paraId="4B88D7A9" w14:textId="77777777" w:rsidR="004B487C" w:rsidRDefault="00000000">
      <w:pPr>
        <w:spacing w:after="0" w:line="480" w:lineRule="auto"/>
        <w:ind w:firstLine="0"/>
        <w:rPr>
          <w:i/>
          <w:iCs/>
        </w:rPr>
      </w:pPr>
      <w:r>
        <w:rPr>
          <w:b/>
          <w:bCs/>
        </w:rPr>
        <w:t>Figure 2</w:t>
      </w:r>
      <w:r>
        <w:rPr>
          <w:b/>
          <w:bCs/>
          <w:color w:val="FF0000"/>
        </w:rPr>
        <w:br/>
      </w:r>
      <w:r>
        <w:t xml:space="preserve"> </w:t>
      </w:r>
      <w:r>
        <w:rPr>
          <w:i/>
          <w:iCs/>
        </w:rPr>
        <w:t>Face-to-face ATS situation in the case of a special school</w:t>
      </w:r>
    </w:p>
    <w:p w14:paraId="5BC64CF4" w14:textId="77777777" w:rsidR="004B487C" w:rsidRDefault="00000000">
      <w:pPr>
        <w:spacing w:after="0" w:line="480" w:lineRule="auto"/>
        <w:ind w:firstLine="0"/>
      </w:pPr>
      <w:r>
        <w:rPr>
          <w:noProof/>
        </w:rPr>
        <w:drawing>
          <wp:inline distT="114300" distB="114300" distL="114300" distR="114300" wp14:anchorId="5EAA0598" wp14:editId="3BA582C4">
            <wp:extent cx="3709988" cy="208601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28"/>
                    <a:srcRect/>
                    <a:stretch>
                      <a:fillRect/>
                    </a:stretch>
                  </pic:blipFill>
                  <pic:spPr>
                    <a:xfrm>
                      <a:off x="0" y="0"/>
                      <a:ext cx="3709988" cy="2086019"/>
                    </a:xfrm>
                    <a:prstGeom prst="rect">
                      <a:avLst/>
                    </a:prstGeom>
                    <a:ln/>
                  </pic:spPr>
                </pic:pic>
              </a:graphicData>
            </a:graphic>
          </wp:inline>
        </w:drawing>
      </w:r>
    </w:p>
    <w:p w14:paraId="61830F52" w14:textId="77777777" w:rsidR="004B487C" w:rsidRDefault="00000000">
      <w:pPr>
        <w:spacing w:after="0" w:line="480" w:lineRule="auto"/>
        <w:ind w:firstLine="0"/>
      </w:pPr>
      <w:r>
        <w:rPr>
          <w:i/>
          <w:iCs/>
        </w:rPr>
        <w:t>Image Description:</w:t>
      </w:r>
      <w:r>
        <w:t xml:space="preserve"> Image represents a face-to-face ATS situation in the case of special schools: An AT specialist, an AT user, their teacher, and their family communicate with each other on-site.</w:t>
      </w:r>
    </w:p>
    <w:p w14:paraId="7BEF9F17" w14:textId="77777777" w:rsidR="004B487C" w:rsidRDefault="004B487C">
      <w:pPr>
        <w:spacing w:after="0" w:line="480" w:lineRule="auto"/>
        <w:ind w:firstLine="0"/>
        <w:rPr>
          <w:b/>
          <w:bCs/>
        </w:rPr>
      </w:pPr>
    </w:p>
    <w:p w14:paraId="32B7418C" w14:textId="77777777" w:rsidR="004B487C" w:rsidRDefault="004B487C">
      <w:pPr>
        <w:spacing w:after="0" w:line="480" w:lineRule="auto"/>
        <w:ind w:firstLine="0"/>
        <w:rPr>
          <w:b/>
          <w:bCs/>
        </w:rPr>
      </w:pPr>
    </w:p>
    <w:p w14:paraId="3B5A6C01" w14:textId="77777777" w:rsidR="004B487C" w:rsidRDefault="004B487C">
      <w:pPr>
        <w:spacing w:after="0" w:line="480" w:lineRule="auto"/>
        <w:ind w:firstLine="0"/>
        <w:rPr>
          <w:b/>
          <w:bCs/>
        </w:rPr>
      </w:pPr>
    </w:p>
    <w:p w14:paraId="16EE3B88" w14:textId="77777777" w:rsidR="004B487C" w:rsidRDefault="004B487C">
      <w:pPr>
        <w:spacing w:after="0" w:line="480" w:lineRule="auto"/>
        <w:ind w:firstLine="0"/>
        <w:rPr>
          <w:b/>
          <w:bCs/>
        </w:rPr>
      </w:pPr>
    </w:p>
    <w:p w14:paraId="4C6E89BA" w14:textId="77777777" w:rsidR="004B487C" w:rsidRDefault="00000000">
      <w:pPr>
        <w:spacing w:after="0" w:line="480" w:lineRule="auto"/>
        <w:ind w:firstLine="0"/>
        <w:rPr>
          <w:i/>
          <w:iCs/>
        </w:rPr>
      </w:pPr>
      <w:r>
        <w:rPr>
          <w:b/>
          <w:bCs/>
        </w:rPr>
        <w:lastRenderedPageBreak/>
        <w:t>Figure 3</w:t>
      </w:r>
      <w:r>
        <w:br/>
      </w:r>
      <w:r>
        <w:rPr>
          <w:i/>
          <w:iCs/>
        </w:rPr>
        <w:t>Remote ATS situation in the case of a special school</w:t>
      </w:r>
    </w:p>
    <w:p w14:paraId="47A67CB0" w14:textId="77777777" w:rsidR="004B487C" w:rsidRDefault="00000000">
      <w:pPr>
        <w:spacing w:after="0" w:line="480" w:lineRule="auto"/>
        <w:ind w:firstLine="0"/>
      </w:pPr>
      <w:r>
        <w:rPr>
          <w:noProof/>
        </w:rPr>
        <w:drawing>
          <wp:inline distT="114300" distB="114300" distL="114300" distR="114300" wp14:anchorId="57967E48" wp14:editId="43776B45">
            <wp:extent cx="3824288" cy="215028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29"/>
                    <a:srcRect/>
                    <a:stretch>
                      <a:fillRect/>
                    </a:stretch>
                  </pic:blipFill>
                  <pic:spPr>
                    <a:xfrm>
                      <a:off x="0" y="0"/>
                      <a:ext cx="3824288" cy="2150286"/>
                    </a:xfrm>
                    <a:prstGeom prst="rect">
                      <a:avLst/>
                    </a:prstGeom>
                    <a:ln/>
                  </pic:spPr>
                </pic:pic>
              </a:graphicData>
            </a:graphic>
          </wp:inline>
        </w:drawing>
      </w:r>
    </w:p>
    <w:p w14:paraId="590A36CA" w14:textId="77777777" w:rsidR="004B487C" w:rsidRDefault="00000000">
      <w:pPr>
        <w:spacing w:after="0" w:line="480" w:lineRule="auto"/>
        <w:ind w:firstLine="0"/>
      </w:pPr>
      <w:r>
        <w:rPr>
          <w:i/>
          <w:iCs/>
        </w:rPr>
        <w:t>Image Description:</w:t>
      </w:r>
      <w:r>
        <w:t xml:space="preserve"> Image represents a remote ATS situation in the case of a special school: An AT user, their teacher, and their family are on-site, and an AT specialist accesses them using online conferencing software. They communicate with each other through the screen.</w:t>
      </w:r>
    </w:p>
    <w:p w14:paraId="77E4CED4" w14:textId="77777777" w:rsidR="004B487C" w:rsidRDefault="00000000">
      <w:pPr>
        <w:spacing w:after="0" w:line="480" w:lineRule="auto"/>
        <w:ind w:firstLine="0"/>
        <w:jc w:val="center"/>
        <w:rPr>
          <w:b/>
          <w:bCs/>
        </w:rPr>
      </w:pPr>
      <w:r>
        <w:rPr>
          <w:b/>
          <w:bCs/>
        </w:rPr>
        <w:t>Discussion</w:t>
      </w:r>
    </w:p>
    <w:p w14:paraId="1FDF86FD" w14:textId="77777777" w:rsidR="004B487C" w:rsidRDefault="00000000">
      <w:pPr>
        <w:spacing w:after="0" w:line="480" w:lineRule="auto"/>
      </w:pPr>
      <w:r>
        <w:t>In this interview survey, it was found that it is difficult to comprehensively assess the physical functions of people with severe motor and intellectual disabilities using remote ATSs. In addition, it is difficult to obtain a sense of the atmosphere or situation in the remote ATSs. This is because the remote advisers struggle to find solutions based on visually unrecognizable movements, simple gestures, and non-verbal cues through the screen.</w:t>
      </w:r>
    </w:p>
    <w:p w14:paraId="5D4A6802" w14:textId="77777777" w:rsidR="004B487C" w:rsidRDefault="00000000">
      <w:pPr>
        <w:spacing w:after="0" w:line="480" w:lineRule="auto"/>
        <w:ind w:firstLine="0"/>
      </w:pPr>
      <w:r>
        <w:t>To address these problems, ideas for bridging the on-site gaps in the remote ATSs based on the categorized items in the Results section are considered. Regarding “Skill set of the on-site supporters with the AT user,” the following roles are required:</w:t>
      </w:r>
    </w:p>
    <w:p w14:paraId="0A84F53D" w14:textId="77777777" w:rsidR="004B487C" w:rsidRDefault="00000000">
      <w:pPr>
        <w:numPr>
          <w:ilvl w:val="0"/>
          <w:numId w:val="4"/>
        </w:numPr>
        <w:spacing w:after="0" w:line="480" w:lineRule="auto"/>
      </w:pPr>
      <w:r>
        <w:t>Clear descriptions to share conditions of AT users on-site with remote AT specialists</w:t>
      </w:r>
    </w:p>
    <w:p w14:paraId="29C0D6D7" w14:textId="77777777" w:rsidR="004B487C" w:rsidRDefault="00000000">
      <w:pPr>
        <w:numPr>
          <w:ilvl w:val="0"/>
          <w:numId w:val="4"/>
        </w:numPr>
        <w:spacing w:after="0" w:line="480" w:lineRule="auto"/>
      </w:pPr>
      <w:r>
        <w:t>Interpretation of advice from remote AT specialists for AT users and their supporters on-site</w:t>
      </w:r>
    </w:p>
    <w:p w14:paraId="65FEB9FD" w14:textId="77777777" w:rsidR="004B487C" w:rsidRDefault="00000000">
      <w:pPr>
        <w:spacing w:after="0" w:line="480" w:lineRule="auto"/>
        <w:ind w:firstLine="0"/>
      </w:pPr>
      <w:r>
        <w:lastRenderedPageBreak/>
        <w:t>Useful technology for “The development of an online network and procurement of related equipment” and “Effective means of remote communication” could be listed below:</w:t>
      </w:r>
    </w:p>
    <w:p w14:paraId="78320E7A" w14:textId="77777777" w:rsidR="004B487C" w:rsidRDefault="00000000">
      <w:pPr>
        <w:numPr>
          <w:ilvl w:val="0"/>
          <w:numId w:val="5"/>
        </w:numPr>
        <w:spacing w:after="0" w:line="480" w:lineRule="auto"/>
      </w:pPr>
      <w:r>
        <w:t>Remotely controllable camera for AT specialists</w:t>
      </w:r>
    </w:p>
    <w:p w14:paraId="336249EB" w14:textId="77777777" w:rsidR="004B487C" w:rsidRDefault="00000000">
      <w:pPr>
        <w:numPr>
          <w:ilvl w:val="0"/>
          <w:numId w:val="5"/>
        </w:numPr>
        <w:spacing w:after="0" w:line="480" w:lineRule="auto"/>
      </w:pPr>
      <w:r>
        <w:t>360-degree camera to see the surroundings of AT users on-site</w:t>
      </w:r>
    </w:p>
    <w:p w14:paraId="5CBA8FEA" w14:textId="77777777" w:rsidR="004B487C" w:rsidRDefault="00000000">
      <w:pPr>
        <w:numPr>
          <w:ilvl w:val="0"/>
          <w:numId w:val="5"/>
        </w:numPr>
        <w:spacing w:after="0" w:line="480" w:lineRule="auto"/>
      </w:pPr>
      <w:r>
        <w:t>Application of motion capture technology</w:t>
      </w:r>
    </w:p>
    <w:p w14:paraId="7C2FF226" w14:textId="77777777" w:rsidR="004B487C" w:rsidRDefault="00000000">
      <w:pPr>
        <w:spacing w:after="0" w:line="480" w:lineRule="auto"/>
      </w:pPr>
      <w:r>
        <w:t>Hence, remote advisers (AT specialists) are expected to provide helpful advice to the on-site supporters and AT users using these technologies effectively as “Skill set of the remote advisers.”</w:t>
      </w:r>
    </w:p>
    <w:p w14:paraId="56699C75" w14:textId="77777777" w:rsidR="004B487C" w:rsidRDefault="00000000">
      <w:pPr>
        <w:spacing w:after="0" w:line="480" w:lineRule="auto"/>
      </w:pPr>
      <w:r>
        <w:t>Although there were no cases of people with developmental disabilities this time, but in the interview step of the ATSs process, using remote access might be useful for them as an “Alternative means for on-site ATSs.” One benefit for them is that they can maintain comfortable distances from each other. In addition, clients can communicate by turning off the screen and using only voice or text chat only.</w:t>
      </w:r>
    </w:p>
    <w:p w14:paraId="2CA409B3" w14:textId="77777777" w:rsidR="004B487C" w:rsidRDefault="00000000">
      <w:pPr>
        <w:spacing w:after="0" w:line="480" w:lineRule="auto"/>
      </w:pPr>
      <w:r>
        <w:t xml:space="preserve">However, it is not always better to replace face-to-face ATSs with remote ATSs for the sake of efficiency or cost performance. As described in the Results section, remote ATSs could lead to the loss of users’ opportunities to try out AT. This means missing out on increased self-awareness for considering their future life. Moreover, ATSs often depend on the empirical knowledge and experience-based skills of an individual or regional community, especially when methods of production or remodeling assistive devices are applied (Watanabe, </w:t>
      </w:r>
      <w:proofErr w:type="spellStart"/>
      <w:r>
        <w:t>Hatakeyama</w:t>
      </w:r>
      <w:proofErr w:type="spellEnd"/>
      <w:r>
        <w:t xml:space="preserve"> &amp; </w:t>
      </w:r>
      <w:proofErr w:type="spellStart"/>
      <w:r>
        <w:t>Tomiita</w:t>
      </w:r>
      <w:proofErr w:type="spellEnd"/>
      <w:r>
        <w:t>, 2015). Owing to this reliance on individuals and the regional gaps in social resources, education, and welfare services, the quality of ATSs would have been influenced.</w:t>
      </w:r>
    </w:p>
    <w:p w14:paraId="2C14DFA9" w14:textId="77777777" w:rsidR="004B487C" w:rsidRDefault="00000000">
      <w:pPr>
        <w:spacing w:after="0" w:line="480" w:lineRule="auto"/>
      </w:pPr>
      <w:r>
        <w:t xml:space="preserve">Therefore, we propose a hybrid ATS that combines the advantages of face-to-face and remote ATS, as shown in Figure 4. This would allow various helpful resources to be accessed </w:t>
      </w:r>
      <w:r>
        <w:lastRenderedPageBreak/>
        <w:t>on-site while simultaneously conducting ATSs, regardless of distance. AT specialists and supporters conducting ATSs for their clients on-site can ask for advice from AT experts and access social resources regardless of distance using remote access. This hybrid method can help to enhance the quality of ATSs. In the hybrid ATSs, on-site AT specialists are required not only to verbally describe the circumstances but also to interact with the AT user while sharing the understandings and the intentions of remote AT specialists. On-site supporters, including network supporters, may require knowledge and techniques to operate new equipment, as described previously. Therefore, creating a training program to teach these skills is a topic for future research.</w:t>
      </w:r>
    </w:p>
    <w:p w14:paraId="37D522BF" w14:textId="77777777" w:rsidR="004B487C" w:rsidRDefault="00000000">
      <w:pPr>
        <w:spacing w:after="0" w:line="360" w:lineRule="auto"/>
        <w:ind w:firstLine="0"/>
        <w:rPr>
          <w:i/>
          <w:iCs/>
        </w:rPr>
      </w:pPr>
      <w:r>
        <w:rPr>
          <w:b/>
          <w:bCs/>
        </w:rPr>
        <w:t>Figure 4</w:t>
      </w:r>
      <w:r>
        <w:br/>
        <w:t xml:space="preserve"> </w:t>
      </w:r>
      <w:r>
        <w:rPr>
          <w:i/>
          <w:iCs/>
        </w:rPr>
        <w:t>Image of hybrid ATSs</w:t>
      </w:r>
    </w:p>
    <w:p w14:paraId="06A2D6C0" w14:textId="77777777" w:rsidR="004B487C" w:rsidRDefault="00000000">
      <w:pPr>
        <w:spacing w:before="240" w:after="240" w:line="240" w:lineRule="auto"/>
        <w:ind w:firstLine="0"/>
        <w:rPr>
          <w:i/>
          <w:iCs/>
        </w:rPr>
      </w:pPr>
      <w:r>
        <w:rPr>
          <w:i/>
          <w:iCs/>
          <w:noProof/>
        </w:rPr>
        <w:drawing>
          <wp:inline distT="114300" distB="114300" distL="114300" distR="114300" wp14:anchorId="575B0B1C" wp14:editId="5AC6113B">
            <wp:extent cx="3652838" cy="2044167"/>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30"/>
                    <a:srcRect/>
                    <a:stretch>
                      <a:fillRect/>
                    </a:stretch>
                  </pic:blipFill>
                  <pic:spPr>
                    <a:xfrm>
                      <a:off x="0" y="0"/>
                      <a:ext cx="3652838" cy="2044167"/>
                    </a:xfrm>
                    <a:prstGeom prst="rect">
                      <a:avLst/>
                    </a:prstGeom>
                    <a:ln/>
                  </pic:spPr>
                </pic:pic>
              </a:graphicData>
            </a:graphic>
          </wp:inline>
        </w:drawing>
      </w:r>
    </w:p>
    <w:p w14:paraId="301543AA" w14:textId="77777777" w:rsidR="004B487C" w:rsidRDefault="00000000">
      <w:pPr>
        <w:spacing w:before="240" w:after="240" w:line="480" w:lineRule="auto"/>
        <w:ind w:firstLine="0"/>
      </w:pPr>
      <w:r>
        <w:rPr>
          <w:i/>
          <w:iCs/>
        </w:rPr>
        <w:t>Image Description:</w:t>
      </w:r>
      <w:r>
        <w:t xml:space="preserve"> Image represents a hybrid ATS situation in the case of a special school: An AT user, their teacher, their family, and an AT specialist are on-site. Another AT specialist, advisers belonging to an AT center, staff of social resources services, etc., access them using online conferencing software. They communicate with each other through the screen.</w:t>
      </w:r>
    </w:p>
    <w:p w14:paraId="3AD1A846" w14:textId="77777777" w:rsidR="004B487C" w:rsidRDefault="004B487C">
      <w:pPr>
        <w:spacing w:before="240" w:after="240" w:line="480" w:lineRule="auto"/>
        <w:ind w:firstLine="0"/>
        <w:jc w:val="center"/>
        <w:rPr>
          <w:b/>
          <w:bCs/>
        </w:rPr>
      </w:pPr>
    </w:p>
    <w:p w14:paraId="18316544" w14:textId="77777777" w:rsidR="004B487C" w:rsidRDefault="00000000">
      <w:pPr>
        <w:spacing w:before="240" w:after="240" w:line="480" w:lineRule="auto"/>
        <w:ind w:firstLine="0"/>
        <w:jc w:val="center"/>
        <w:rPr>
          <w:b/>
          <w:bCs/>
        </w:rPr>
      </w:pPr>
      <w:r>
        <w:rPr>
          <w:b/>
          <w:bCs/>
        </w:rPr>
        <w:lastRenderedPageBreak/>
        <w:t>Conclusion</w:t>
      </w:r>
    </w:p>
    <w:p w14:paraId="3A06A165" w14:textId="77777777" w:rsidR="004B487C" w:rsidRDefault="00000000">
      <w:pPr>
        <w:spacing w:before="240" w:after="240" w:line="480" w:lineRule="auto"/>
      </w:pPr>
      <w:r>
        <w:t xml:space="preserve">The interview survey categorized the information obtained from remote ATSs practices into seven items. The survey results suggest that it is more important to develop methods that take advantage of remote access, tools, and techniques to share non-verbal information and visually unrecognizable movements of clients with disabilities through a screen than to pursue face-to-face consultations at every step of the ATS process. This led us to propose the hybrid ATSs. Further studies are needed to clarify the required skills for the remote AT specialist and the on-site AT specialist on the hybrid ATSs and to create a training program to learn remote equipment and visualization while analyzing the transcriptions of the interviews in detail, although this study provided useful insights for improved ATS provision in the future. </w:t>
      </w:r>
    </w:p>
    <w:p w14:paraId="2B6A624E" w14:textId="77777777" w:rsidR="004B487C" w:rsidRDefault="00000000">
      <w:pPr>
        <w:spacing w:before="240" w:after="240" w:line="480" w:lineRule="auto"/>
      </w:pPr>
      <w:r>
        <w:t>ATSs using remote technology have also attracted attention as “</w:t>
      </w:r>
      <w:proofErr w:type="spellStart"/>
      <w:r>
        <w:t>TeleAT</w:t>
      </w:r>
      <w:proofErr w:type="spellEnd"/>
      <w:r>
        <w:t xml:space="preserve">” by the World Health Organization (WHO, 2022), and practical research areas should be increasingly addressed. We hope to propose collaborative ATSs through further surveys and practical outreach activities using the hybrid ATSs. </w:t>
      </w:r>
    </w:p>
    <w:p w14:paraId="2B4A102C" w14:textId="77777777" w:rsidR="004B487C" w:rsidRDefault="004B487C">
      <w:pPr>
        <w:spacing w:line="480" w:lineRule="auto"/>
      </w:pPr>
    </w:p>
    <w:p w14:paraId="535B268C" w14:textId="77777777" w:rsidR="004B487C" w:rsidRDefault="004B487C">
      <w:pPr>
        <w:spacing w:line="480" w:lineRule="auto"/>
      </w:pPr>
    </w:p>
    <w:p w14:paraId="6AE2BC66" w14:textId="77777777" w:rsidR="004B487C" w:rsidRDefault="004B487C">
      <w:pPr>
        <w:spacing w:line="480" w:lineRule="auto"/>
      </w:pPr>
    </w:p>
    <w:p w14:paraId="17627258" w14:textId="77777777" w:rsidR="004B487C" w:rsidRDefault="004B487C">
      <w:pPr>
        <w:spacing w:line="480" w:lineRule="auto"/>
      </w:pPr>
    </w:p>
    <w:p w14:paraId="36C952FD" w14:textId="77777777" w:rsidR="004B487C" w:rsidRDefault="004B487C">
      <w:pPr>
        <w:spacing w:line="480" w:lineRule="auto"/>
      </w:pPr>
    </w:p>
    <w:p w14:paraId="64819684" w14:textId="77777777" w:rsidR="004B487C" w:rsidRDefault="004B487C">
      <w:pPr>
        <w:spacing w:line="480" w:lineRule="auto"/>
      </w:pPr>
    </w:p>
    <w:p w14:paraId="5A78214A" w14:textId="77777777" w:rsidR="004B487C" w:rsidRDefault="00000000">
      <w:pPr>
        <w:spacing w:line="480" w:lineRule="auto"/>
        <w:ind w:firstLine="0"/>
        <w:jc w:val="center"/>
        <w:rPr>
          <w:b/>
          <w:bCs/>
        </w:rPr>
      </w:pPr>
      <w:r>
        <w:rPr>
          <w:b/>
          <w:bCs/>
        </w:rPr>
        <w:lastRenderedPageBreak/>
        <w:t>References</w:t>
      </w:r>
    </w:p>
    <w:p w14:paraId="4DA1FDD5" w14:textId="77777777" w:rsidR="004B487C" w:rsidRDefault="00000000">
      <w:pPr>
        <w:spacing w:after="0" w:line="480" w:lineRule="auto"/>
        <w:ind w:firstLine="0"/>
      </w:pPr>
      <w:r>
        <w:t>Center for Inclusive Design &amp; Engineering (CIDE). (n.d.). Assistive Technology Assessment.</w:t>
      </w:r>
    </w:p>
    <w:p w14:paraId="5A93A813" w14:textId="77777777" w:rsidR="004B487C" w:rsidRDefault="00000000">
      <w:pPr>
        <w:spacing w:after="0" w:line="480" w:lineRule="auto"/>
      </w:pPr>
      <w:hyperlink r:id="rId31">
        <w:r>
          <w:rPr>
            <w:color w:val="1155CC"/>
            <w:u w:val="single"/>
          </w:rPr>
          <w:t>http://www.swaaac.org/assistive-technology-assessment</w:t>
        </w:r>
      </w:hyperlink>
    </w:p>
    <w:p w14:paraId="6DA3B69E" w14:textId="77777777" w:rsidR="004B487C" w:rsidRDefault="00000000">
      <w:pPr>
        <w:spacing w:after="0" w:line="480" w:lineRule="auto"/>
        <w:ind w:left="720" w:hanging="720"/>
        <w:rPr>
          <w:color w:val="1155CC"/>
          <w:u w:val="single"/>
        </w:rPr>
      </w:pPr>
      <w:r>
        <w:t>DO-IT Japan. (n.d.). Report and video DO-IT Japan.</w:t>
      </w:r>
      <w:hyperlink r:id="rId32">
        <w:r>
          <w:t xml:space="preserve"> </w:t>
        </w:r>
      </w:hyperlink>
      <w:hyperlink r:id="rId33">
        <w:r>
          <w:rPr>
            <w:color w:val="1155CC"/>
            <w:u w:val="single"/>
          </w:rPr>
          <w:t>https://doit-japan.org/report-video/</w:t>
        </w:r>
      </w:hyperlink>
    </w:p>
    <w:p w14:paraId="3CA1C3CF" w14:textId="77777777" w:rsidR="004B487C" w:rsidRDefault="00000000" w:rsidP="006F72A1">
      <w:pPr>
        <w:spacing w:after="0" w:line="480" w:lineRule="auto"/>
        <w:ind w:firstLine="0"/>
      </w:pPr>
      <w:proofErr w:type="spellStart"/>
      <w:r>
        <w:t>Easterseals</w:t>
      </w:r>
      <w:proofErr w:type="spellEnd"/>
      <w:r>
        <w:t xml:space="preserve"> Massachusetts- Remote Assistive Technology services (n.d.).</w:t>
      </w:r>
    </w:p>
    <w:p w14:paraId="017BF609" w14:textId="6A1B6F8A" w:rsidR="004B487C" w:rsidRPr="006F72A1" w:rsidRDefault="00000000" w:rsidP="006F72A1">
      <w:pPr>
        <w:spacing w:after="0" w:line="480" w:lineRule="auto"/>
      </w:pPr>
      <w:r w:rsidRPr="006F72A1">
        <w:t>https://massachusetts.easterseals.com/get-support/areas-of-support/assistive-</w:t>
      </w:r>
      <w:r>
        <w:br/>
      </w:r>
      <w:r>
        <w:tab/>
        <w:t>technology</w:t>
      </w:r>
    </w:p>
    <w:p w14:paraId="0B9A5A6A" w14:textId="77777777" w:rsidR="004B487C" w:rsidRDefault="00000000">
      <w:pPr>
        <w:spacing w:after="0" w:line="480" w:lineRule="auto"/>
        <w:ind w:left="720" w:right="40" w:hanging="720"/>
      </w:pPr>
      <w:r>
        <w:t xml:space="preserve">Federici, S., &amp; Scherer, M. (Eds.). (2012). Assistive technology assessment handbook. </w:t>
      </w:r>
    </w:p>
    <w:p w14:paraId="3B8B4F41" w14:textId="77777777" w:rsidR="004B487C" w:rsidRDefault="00000000" w:rsidP="00217C03">
      <w:pPr>
        <w:spacing w:after="0" w:line="480" w:lineRule="auto"/>
        <w:ind w:right="40"/>
      </w:pPr>
      <w:r>
        <w:t>CRC Press.</w:t>
      </w:r>
    </w:p>
    <w:p w14:paraId="6A6C3F2C" w14:textId="77777777" w:rsidR="004B487C" w:rsidRDefault="00000000">
      <w:pPr>
        <w:spacing w:after="0" w:line="480" w:lineRule="auto"/>
        <w:ind w:left="720" w:hanging="720"/>
      </w:pPr>
      <w:r>
        <w:t xml:space="preserve">Nagoya Assistive Technology Center. (n.d.).  </w:t>
      </w:r>
      <w:hyperlink r:id="rId34">
        <w:r>
          <w:rPr>
            <w:color w:val="1155CC"/>
            <w:u w:val="single"/>
          </w:rPr>
          <w:t>https://www.youtube.com/channel/UCXR4qQLA6eVr3UVsUhJK5zQ/featured</w:t>
        </w:r>
      </w:hyperlink>
    </w:p>
    <w:p w14:paraId="55C07950" w14:textId="77777777" w:rsidR="004B487C" w:rsidRDefault="00000000">
      <w:pPr>
        <w:spacing w:after="0" w:line="480" w:lineRule="auto"/>
        <w:ind w:left="720" w:hanging="720"/>
      </w:pPr>
      <w:r>
        <w:t xml:space="preserve">Okinawa IT Support Center. (n.d.). Okinawa IT Support Center Official Channel. </w:t>
      </w:r>
      <w:hyperlink r:id="rId35">
        <w:r>
          <w:rPr>
            <w:color w:val="1155CC"/>
            <w:u w:val="single"/>
          </w:rPr>
          <w:t>https://www.youtube.com/channel/UCw1cwkhP2YzDhqgsLZ3kxBA</w:t>
        </w:r>
      </w:hyperlink>
    </w:p>
    <w:p w14:paraId="53FAD557" w14:textId="77777777" w:rsidR="004B487C" w:rsidRDefault="00000000">
      <w:pPr>
        <w:spacing w:after="0" w:line="480" w:lineRule="auto"/>
        <w:ind w:left="720" w:hanging="720"/>
        <w:rPr>
          <w:color w:val="FF0000"/>
        </w:rPr>
      </w:pPr>
      <w:r>
        <w:t xml:space="preserve">S.2401-117th Congress (2021-2022). 21st Century Assistive Technology Act. </w:t>
      </w:r>
      <w:hyperlink r:id="rId36">
        <w:r>
          <w:rPr>
            <w:color w:val="1155CC"/>
            <w:u w:val="single"/>
          </w:rPr>
          <w:t>https://www.congress.gov/bill/117th-congress/senate-bill/2401</w:t>
        </w:r>
      </w:hyperlink>
    </w:p>
    <w:p w14:paraId="58D75E4B" w14:textId="77777777" w:rsidR="004B487C" w:rsidRDefault="00000000">
      <w:pPr>
        <w:spacing w:after="0" w:line="480" w:lineRule="auto"/>
        <w:ind w:left="720" w:hanging="720"/>
      </w:pPr>
      <w:r>
        <w:t xml:space="preserve">Watanabe, T., </w:t>
      </w:r>
      <w:proofErr w:type="spellStart"/>
      <w:r>
        <w:t>Hatakeyama</w:t>
      </w:r>
      <w:proofErr w:type="spellEnd"/>
      <w:r>
        <w:t xml:space="preserve">, T., &amp; </w:t>
      </w:r>
      <w:proofErr w:type="spellStart"/>
      <w:r>
        <w:t>Tomiita</w:t>
      </w:r>
      <w:proofErr w:type="spellEnd"/>
      <w:r>
        <w:t xml:space="preserve">, M. (2015). Improving assistive technology service by using 3D printing: Three case studies. </w:t>
      </w:r>
      <w:r>
        <w:rPr>
          <w:i/>
          <w:iCs/>
        </w:rPr>
        <w:t>Assistive Technology Building Bridges</w:t>
      </w:r>
      <w:r>
        <w:t xml:space="preserve">, </w:t>
      </w:r>
      <w:r>
        <w:rPr>
          <w:i/>
          <w:iCs/>
        </w:rPr>
        <w:t>217</w:t>
      </w:r>
      <w:r>
        <w:t>, 1047-1052.</w:t>
      </w:r>
    </w:p>
    <w:p w14:paraId="59494E78" w14:textId="77777777" w:rsidR="004B487C" w:rsidRDefault="00000000">
      <w:pPr>
        <w:spacing w:after="0" w:line="480" w:lineRule="auto"/>
        <w:ind w:left="720" w:hanging="720"/>
      </w:pPr>
      <w:r>
        <w:t xml:space="preserve">Watanabe, T., &amp; </w:t>
      </w:r>
      <w:proofErr w:type="spellStart"/>
      <w:r>
        <w:t>Matsukiyo</w:t>
      </w:r>
      <w:proofErr w:type="spellEnd"/>
      <w:r>
        <w:t xml:space="preserve">, A., (2021a). A Case Study in Arranging Accessible Environments for Students with Disabilities. </w:t>
      </w:r>
      <w:r>
        <w:rPr>
          <w:i/>
          <w:iCs/>
        </w:rPr>
        <w:t>36th Annual Pacific Rim International Conference on Disability and Diversity</w:t>
      </w:r>
      <w:r>
        <w:t>, Honolulu, HI.</w:t>
      </w:r>
    </w:p>
    <w:p w14:paraId="6C5428A8" w14:textId="77777777" w:rsidR="004B487C" w:rsidRDefault="00000000">
      <w:pPr>
        <w:spacing w:after="0" w:line="480" w:lineRule="auto"/>
        <w:ind w:left="720" w:hanging="720"/>
        <w:rPr>
          <w:color w:val="1155CC"/>
          <w:u w:val="single"/>
        </w:rPr>
      </w:pPr>
      <w:r>
        <w:t xml:space="preserve">Watanabe, T., </w:t>
      </w:r>
      <w:proofErr w:type="spellStart"/>
      <w:r>
        <w:t>Matsukiyo</w:t>
      </w:r>
      <w:proofErr w:type="spellEnd"/>
      <w:r>
        <w:t xml:space="preserve">, A., and </w:t>
      </w:r>
      <w:proofErr w:type="spellStart"/>
      <w:r>
        <w:t>Okuyama</w:t>
      </w:r>
      <w:proofErr w:type="spellEnd"/>
      <w:r>
        <w:t xml:space="preserve">, T., (2021b). Possibility of Assistive Technology Service by Remote Access - Conducting of Technology Fitting Session in DO-IT Japan Project -. </w:t>
      </w:r>
      <w:r>
        <w:rPr>
          <w:i/>
          <w:iCs/>
        </w:rPr>
        <w:t>Rehabilitation Engineering</w:t>
      </w:r>
      <w:r>
        <w:t xml:space="preserve">, </w:t>
      </w:r>
      <w:r>
        <w:rPr>
          <w:i/>
          <w:iCs/>
        </w:rPr>
        <w:t>36</w:t>
      </w:r>
      <w:r>
        <w:t>(2), 122-127.</w:t>
      </w:r>
      <w:hyperlink r:id="rId37">
        <w:r>
          <w:t xml:space="preserve"> </w:t>
        </w:r>
      </w:hyperlink>
      <w:hyperlink r:id="rId38">
        <w:r>
          <w:rPr>
            <w:color w:val="1155CC"/>
            <w:u w:val="single"/>
          </w:rPr>
          <w:t>https://doi.org/10.24691/resja.36.2_122</w:t>
        </w:r>
      </w:hyperlink>
    </w:p>
    <w:p w14:paraId="73A8B7C7" w14:textId="77777777" w:rsidR="004B487C" w:rsidRDefault="00000000">
      <w:pPr>
        <w:spacing w:after="0" w:line="480" w:lineRule="auto"/>
        <w:ind w:firstLine="0"/>
      </w:pPr>
      <w:r>
        <w:t xml:space="preserve">Watanabe, T., Iwabuchi, M., </w:t>
      </w:r>
      <w:proofErr w:type="spellStart"/>
      <w:r>
        <w:t>Hosyo</w:t>
      </w:r>
      <w:proofErr w:type="spellEnd"/>
      <w:r>
        <w:t xml:space="preserve">, T., </w:t>
      </w:r>
      <w:proofErr w:type="spellStart"/>
      <w:r>
        <w:t>Asaishi</w:t>
      </w:r>
      <w:proofErr w:type="spellEnd"/>
      <w:r>
        <w:t xml:space="preserve">, Y., </w:t>
      </w:r>
      <w:proofErr w:type="spellStart"/>
      <w:r>
        <w:t>Fujii</w:t>
      </w:r>
      <w:proofErr w:type="spellEnd"/>
      <w:r>
        <w:t xml:space="preserve">, H., (2022). Trial Production </w:t>
      </w:r>
    </w:p>
    <w:p w14:paraId="2A9F4C26" w14:textId="77777777" w:rsidR="004B487C" w:rsidRDefault="00000000">
      <w:pPr>
        <w:spacing w:after="0" w:line="480" w:lineRule="auto"/>
      </w:pPr>
      <w:r>
        <w:t>of an Interactive Assessment Tool “AT Chatbot” for Continuing Assistive</w:t>
      </w:r>
    </w:p>
    <w:p w14:paraId="3C391536" w14:textId="77777777" w:rsidR="004B487C" w:rsidRDefault="00000000">
      <w:pPr>
        <w:spacing w:after="0" w:line="480" w:lineRule="auto"/>
      </w:pPr>
      <w:r>
        <w:t xml:space="preserve">Technology Services. </w:t>
      </w:r>
      <w:r>
        <w:rPr>
          <w:i/>
          <w:iCs/>
        </w:rPr>
        <w:t>Human Interface Symposium 2022</w:t>
      </w:r>
      <w:r>
        <w:t>, 334-337.</w:t>
      </w:r>
    </w:p>
    <w:p w14:paraId="74EF966D" w14:textId="77777777" w:rsidR="004B487C" w:rsidRDefault="00000000">
      <w:pPr>
        <w:spacing w:after="0" w:line="480" w:lineRule="auto"/>
        <w:ind w:firstLine="0"/>
      </w:pPr>
      <w:r>
        <w:t>World Health Organization (WHO). (2022). Global report in assistive technology.</w:t>
      </w:r>
    </w:p>
    <w:p w14:paraId="266ABD53" w14:textId="77777777" w:rsidR="004B487C" w:rsidRDefault="00000000">
      <w:pPr>
        <w:spacing w:after="0" w:line="480" w:lineRule="auto"/>
      </w:pPr>
      <w:hyperlink r:id="rId39">
        <w:r>
          <w:rPr>
            <w:color w:val="1155CC"/>
            <w:u w:val="single"/>
          </w:rPr>
          <w:t>https://www.who.int/publications/i/item/9789240049451</w:t>
        </w:r>
      </w:hyperlink>
    </w:p>
    <w:p w14:paraId="67EDD804" w14:textId="77777777" w:rsidR="004B487C" w:rsidRDefault="004B487C">
      <w:pPr>
        <w:spacing w:after="0" w:line="480" w:lineRule="auto"/>
      </w:pPr>
    </w:p>
    <w:p w14:paraId="2A84FA81" w14:textId="77777777" w:rsidR="004B487C" w:rsidRDefault="004B487C">
      <w:pPr>
        <w:spacing w:after="0" w:line="480" w:lineRule="auto"/>
      </w:pPr>
    </w:p>
    <w:p w14:paraId="4A8AF3AA" w14:textId="77777777" w:rsidR="004B487C" w:rsidRDefault="004B487C">
      <w:pPr>
        <w:spacing w:after="0" w:line="480" w:lineRule="auto"/>
      </w:pPr>
    </w:p>
    <w:p w14:paraId="4FB2A191" w14:textId="77777777" w:rsidR="004B487C" w:rsidRDefault="004B487C">
      <w:pPr>
        <w:spacing w:after="0" w:line="480" w:lineRule="auto"/>
      </w:pPr>
    </w:p>
    <w:p w14:paraId="12ED053B" w14:textId="77777777" w:rsidR="004B487C" w:rsidRDefault="004B487C">
      <w:pPr>
        <w:spacing w:after="0" w:line="480" w:lineRule="auto"/>
      </w:pPr>
    </w:p>
    <w:p w14:paraId="29EE5BD6" w14:textId="77777777" w:rsidR="004B487C" w:rsidRDefault="004B487C">
      <w:pPr>
        <w:spacing w:after="0" w:line="480" w:lineRule="auto"/>
      </w:pPr>
    </w:p>
    <w:p w14:paraId="3845EB72" w14:textId="77777777" w:rsidR="004B487C" w:rsidRDefault="004B487C">
      <w:pPr>
        <w:spacing w:after="0" w:line="480" w:lineRule="auto"/>
      </w:pPr>
    </w:p>
    <w:p w14:paraId="6D6651EC" w14:textId="77777777" w:rsidR="004B487C" w:rsidRDefault="004B487C">
      <w:pPr>
        <w:spacing w:after="0" w:line="480" w:lineRule="auto"/>
      </w:pPr>
    </w:p>
    <w:p w14:paraId="0961BEF4" w14:textId="77777777" w:rsidR="004B487C" w:rsidRDefault="004B487C">
      <w:pPr>
        <w:spacing w:after="0" w:line="480" w:lineRule="auto"/>
      </w:pPr>
    </w:p>
    <w:p w14:paraId="05E73FA1" w14:textId="77777777" w:rsidR="004B487C" w:rsidRDefault="004B487C">
      <w:pPr>
        <w:spacing w:after="0" w:line="480" w:lineRule="auto"/>
      </w:pPr>
    </w:p>
    <w:p w14:paraId="4E05FBBC" w14:textId="77777777" w:rsidR="004B487C" w:rsidRDefault="004B487C" w:rsidP="006F72A1">
      <w:pPr>
        <w:spacing w:after="0" w:line="480" w:lineRule="auto"/>
        <w:ind w:firstLine="0"/>
      </w:pPr>
    </w:p>
    <w:p w14:paraId="569741CC" w14:textId="77777777" w:rsidR="004B487C" w:rsidRDefault="004B487C">
      <w:pPr>
        <w:spacing w:after="0" w:line="480" w:lineRule="auto"/>
      </w:pPr>
    </w:p>
    <w:p w14:paraId="03C41B89" w14:textId="77777777" w:rsidR="004B487C" w:rsidRDefault="004B487C">
      <w:pPr>
        <w:spacing w:after="0" w:line="480" w:lineRule="auto"/>
      </w:pPr>
    </w:p>
    <w:p w14:paraId="156103E1" w14:textId="77777777" w:rsidR="004B487C" w:rsidRDefault="00000000">
      <w:pPr>
        <w:pStyle w:val="Heading1"/>
        <w:jc w:val="left"/>
      </w:pPr>
      <w:r>
        <w:rPr>
          <w:noProof/>
          <w:color w:val="000000"/>
        </w:rPr>
        <w:drawing>
          <wp:inline distT="0" distB="0" distL="0" distR="0" wp14:anchorId="7B8FD906" wp14:editId="5885BE27">
            <wp:extent cx="1016000" cy="186055"/>
            <wp:effectExtent l="0" t="0" r="0" b="0"/>
            <wp:docPr id="7" name="image1.png" descr="Creative Commons CC:BY logo"/>
            <wp:cNvGraphicFramePr/>
            <a:graphic xmlns:a="http://schemas.openxmlformats.org/drawingml/2006/main">
              <a:graphicData uri="http://schemas.openxmlformats.org/drawingml/2006/picture">
                <pic:pic xmlns:pic="http://schemas.openxmlformats.org/drawingml/2006/picture">
                  <pic:nvPicPr>
                    <pic:cNvPr id="7" name="image1.png" descr="Creative Commons CC:BY logo"/>
                    <pic:cNvPicPr preferRelativeResize="0"/>
                  </pic:nvPicPr>
                  <pic:blipFill>
                    <a:blip r:embed="rId7"/>
                    <a:srcRect/>
                    <a:stretch>
                      <a:fillRect/>
                    </a:stretch>
                  </pic:blipFill>
                  <pic:spPr>
                    <a:xfrm>
                      <a:off x="0" y="0"/>
                      <a:ext cx="1016000" cy="186055"/>
                    </a:xfrm>
                    <a:prstGeom prst="rect">
                      <a:avLst/>
                    </a:prstGeom>
                    <a:ln/>
                  </pic:spPr>
                </pic:pic>
              </a:graphicData>
            </a:graphic>
          </wp:inline>
        </w:drawing>
      </w:r>
      <w:r>
        <w:rPr>
          <w:color w:val="000000"/>
        </w:rPr>
        <w:t xml:space="preserve"> </w:t>
      </w:r>
      <w:r w:rsidRPr="006F72A1">
        <w:t>Interview Survey on Provision of Assistive Technology Services for Students With Disabilities Under Covid-19 Pandemic</w:t>
      </w:r>
      <w:r w:rsidRPr="006F72A1">
        <w:rPr>
          <w:b w:val="0"/>
          <w:bCs w:val="0"/>
        </w:rPr>
        <w:t xml:space="preserve"> by Watanabe et al. </w:t>
      </w:r>
      <w:hyperlink r:id="rId40">
        <w:r w:rsidRPr="006F72A1">
          <w:rPr>
            <w:b w:val="0"/>
            <w:bCs w:val="0"/>
            <w:u w:val="single"/>
          </w:rPr>
          <w:t>https://rdsjournal.org/index.php/journal/article/view/</w:t>
        </w:r>
      </w:hyperlink>
      <w:r w:rsidRPr="006F72A1">
        <w:rPr>
          <w:b w:val="0"/>
          <w:bCs w:val="0"/>
          <w:u w:val="single"/>
        </w:rPr>
        <w:t>1169</w:t>
      </w:r>
      <w:r w:rsidRPr="006F72A1">
        <w:rPr>
          <w:b w:val="0"/>
          <w:bCs w:val="0"/>
        </w:rPr>
        <w:t xml:space="preserve"> is licensed under a</w:t>
      </w:r>
      <w:hyperlink r:id="rId41">
        <w:r w:rsidRPr="006F72A1">
          <w:rPr>
            <w:b w:val="0"/>
            <w:bCs w:val="0"/>
            <w:u w:val="single"/>
          </w:rPr>
          <w:t xml:space="preserve"> </w:t>
        </w:r>
      </w:hyperlink>
      <w:hyperlink r:id="rId42">
        <w:r w:rsidRPr="006F72A1">
          <w:rPr>
            <w:b w:val="0"/>
            <w:bCs w:val="0"/>
            <w:u w:val="single"/>
          </w:rPr>
          <w:t>Creative Commons Attribution 4.0 International License</w:t>
        </w:r>
      </w:hyperlink>
      <w:r w:rsidRPr="006F72A1">
        <w:rPr>
          <w:b w:val="0"/>
          <w:bCs w:val="0"/>
        </w:rPr>
        <w:t xml:space="preserve"> </w:t>
      </w:r>
      <w:r w:rsidRPr="006F72A1">
        <w:rPr>
          <w:b w:val="0"/>
          <w:bCs w:val="0"/>
          <w:color w:val="000000"/>
        </w:rPr>
        <w:t xml:space="preserve">based on a work at </w:t>
      </w:r>
      <w:hyperlink r:id="rId43">
        <w:r w:rsidRPr="006F72A1">
          <w:rPr>
            <w:b w:val="0"/>
            <w:bCs w:val="0"/>
            <w:color w:val="0000FF"/>
            <w:u w:val="single"/>
          </w:rPr>
          <w:t>https://rdsjournal.org</w:t>
        </w:r>
      </w:hyperlink>
      <w:r w:rsidRPr="006F72A1">
        <w:rPr>
          <w:b w:val="0"/>
          <w:bCs w:val="0"/>
          <w:color w:val="000000"/>
        </w:rPr>
        <w:t>.</w:t>
      </w:r>
    </w:p>
    <w:p w14:paraId="50F4D3EF" w14:textId="77777777" w:rsidR="004B487C" w:rsidRDefault="004B487C">
      <w:pPr>
        <w:spacing w:line="480" w:lineRule="auto"/>
      </w:pPr>
    </w:p>
    <w:p w14:paraId="5B734B38" w14:textId="77777777" w:rsidR="004B487C" w:rsidRDefault="004B487C">
      <w:pPr>
        <w:jc w:val="center"/>
        <w:rPr>
          <w:b/>
          <w:bCs/>
          <w:sz w:val="26"/>
          <w:szCs w:val="26"/>
        </w:rPr>
      </w:pPr>
    </w:p>
    <w:p w14:paraId="7119838D" w14:textId="77777777" w:rsidR="004B487C" w:rsidRDefault="00000000">
      <w:pPr>
        <w:ind w:firstLine="0"/>
        <w:jc w:val="center"/>
        <w:rPr>
          <w:rFonts w:ascii="Arial" w:eastAsia="Arial" w:hAnsi="Arial" w:cs="Arial"/>
          <w:b/>
          <w:bCs/>
          <w:sz w:val="26"/>
          <w:szCs w:val="26"/>
        </w:rPr>
      </w:pPr>
      <w:r>
        <w:rPr>
          <w:rFonts w:ascii="Arial" w:eastAsia="Arial" w:hAnsi="Arial" w:cs="Arial"/>
          <w:b/>
          <w:bCs/>
          <w:sz w:val="26"/>
          <w:szCs w:val="26"/>
        </w:rPr>
        <w:lastRenderedPageBreak/>
        <w:t>Research Articles and Essays</w:t>
      </w:r>
    </w:p>
    <w:p w14:paraId="7AD89AC0" w14:textId="77777777" w:rsidR="004B487C" w:rsidRDefault="004B487C">
      <w:pPr>
        <w:jc w:val="center"/>
        <w:rPr>
          <w:b/>
          <w:bCs/>
        </w:rPr>
      </w:pPr>
    </w:p>
    <w:p w14:paraId="62B5B28E" w14:textId="77777777" w:rsidR="004B487C" w:rsidRDefault="00000000">
      <w:r>
        <w:br/>
      </w:r>
    </w:p>
    <w:p w14:paraId="6F8FE6B2" w14:textId="77777777" w:rsidR="004B487C" w:rsidRDefault="00000000">
      <w:pPr>
        <w:ind w:firstLine="0"/>
        <w:jc w:val="center"/>
        <w:rPr>
          <w:b/>
          <w:bCs/>
        </w:rPr>
      </w:pPr>
      <w:r>
        <w:rPr>
          <w:b/>
          <w:bCs/>
        </w:rPr>
        <w:t>Beyond Words: Reception of Audio Description in Public Places</w:t>
      </w:r>
    </w:p>
    <w:p w14:paraId="7E923731" w14:textId="77777777" w:rsidR="004B487C" w:rsidRDefault="00000000">
      <w:pPr>
        <w:ind w:firstLine="0"/>
        <w:jc w:val="center"/>
        <w:rPr>
          <w:b/>
          <w:bCs/>
        </w:rPr>
      </w:pPr>
      <w:r>
        <w:rPr>
          <w:b/>
          <w:bCs/>
        </w:rPr>
        <w:t>Complicated by External Factors</w:t>
      </w:r>
    </w:p>
    <w:p w14:paraId="4A5C4EA8" w14:textId="77777777" w:rsidR="004B487C" w:rsidRDefault="004B487C"/>
    <w:p w14:paraId="5242669C" w14:textId="77777777" w:rsidR="004B487C" w:rsidRDefault="004B487C"/>
    <w:p w14:paraId="586757DF" w14:textId="77777777" w:rsidR="004B487C" w:rsidRDefault="004B487C">
      <w:pPr>
        <w:keepNext/>
        <w:keepLines/>
        <w:widowControl/>
        <w:pBdr>
          <w:top w:val="nil"/>
          <w:left w:val="nil"/>
          <w:bottom w:val="nil"/>
          <w:right w:val="nil"/>
          <w:between w:val="nil"/>
        </w:pBdr>
        <w:spacing w:after="0" w:line="480" w:lineRule="auto"/>
        <w:ind w:firstLine="0"/>
        <w:rPr>
          <w:b/>
          <w:bCs/>
          <w:color w:val="000000"/>
        </w:rPr>
      </w:pPr>
    </w:p>
    <w:p w14:paraId="0FA2E0C1" w14:textId="77777777" w:rsidR="004B487C" w:rsidRDefault="004B487C">
      <w:pPr>
        <w:spacing w:after="0" w:line="240" w:lineRule="auto"/>
        <w:ind w:firstLine="0"/>
        <w:jc w:val="center"/>
      </w:pPr>
    </w:p>
    <w:p w14:paraId="7694FE50" w14:textId="77777777" w:rsidR="004B487C" w:rsidRDefault="00000000">
      <w:pPr>
        <w:pStyle w:val="Heading1"/>
        <w:keepNext w:val="0"/>
        <w:keepLines w:val="0"/>
        <w:spacing w:after="0" w:line="480" w:lineRule="auto"/>
        <w:rPr>
          <w:b w:val="0"/>
          <w:bCs w:val="0"/>
          <w:vertAlign w:val="superscript"/>
        </w:rPr>
      </w:pPr>
      <w:r>
        <w:rPr>
          <w:b w:val="0"/>
          <w:bCs w:val="0"/>
        </w:rPr>
        <w:t xml:space="preserve"> Matt Bullen</w:t>
      </w:r>
      <w:r>
        <w:rPr>
          <w:b w:val="0"/>
          <w:bCs w:val="0"/>
          <w:vertAlign w:val="superscript"/>
        </w:rPr>
        <w:t>1</w:t>
      </w:r>
      <w:r>
        <w:rPr>
          <w:b w:val="0"/>
          <w:bCs w:val="0"/>
        </w:rPr>
        <w:t xml:space="preserve">, Brett </w:t>
      </w:r>
      <w:proofErr w:type="spellStart"/>
      <w:r>
        <w:rPr>
          <w:b w:val="0"/>
          <w:bCs w:val="0"/>
        </w:rPr>
        <w:t>Oppegaard</w:t>
      </w:r>
      <w:proofErr w:type="spellEnd"/>
      <w:r>
        <w:rPr>
          <w:b w:val="0"/>
          <w:bCs w:val="0"/>
          <w:vertAlign w:val="superscript"/>
        </w:rPr>
        <w:t xml:space="preserve"> 1</w:t>
      </w:r>
      <w:r>
        <w:rPr>
          <w:b w:val="0"/>
          <w:bCs w:val="0"/>
        </w:rPr>
        <w:t xml:space="preserve">, Megan Conway </w:t>
      </w:r>
      <w:r>
        <w:rPr>
          <w:b w:val="0"/>
          <w:bCs w:val="0"/>
          <w:vertAlign w:val="superscript"/>
        </w:rPr>
        <w:t>2</w:t>
      </w:r>
      <w:r>
        <w:rPr>
          <w:b w:val="0"/>
          <w:bCs w:val="0"/>
        </w:rPr>
        <w:t xml:space="preserve">, </w:t>
      </w:r>
      <w:proofErr w:type="spellStart"/>
      <w:r>
        <w:rPr>
          <w:b w:val="0"/>
          <w:bCs w:val="0"/>
        </w:rPr>
        <w:t>Sajja</w:t>
      </w:r>
      <w:proofErr w:type="spellEnd"/>
      <w:r>
        <w:rPr>
          <w:b w:val="0"/>
          <w:bCs w:val="0"/>
        </w:rPr>
        <w:t xml:space="preserve"> Koirala</w:t>
      </w:r>
      <w:r>
        <w:rPr>
          <w:b w:val="0"/>
          <w:bCs w:val="0"/>
          <w:vertAlign w:val="superscript"/>
        </w:rPr>
        <w:t xml:space="preserve"> 1</w:t>
      </w:r>
    </w:p>
    <w:p w14:paraId="4CED37BA" w14:textId="33085B10" w:rsidR="004B487C" w:rsidRDefault="00000000">
      <w:pPr>
        <w:pStyle w:val="Heading1"/>
        <w:keepNext w:val="0"/>
        <w:keepLines w:val="0"/>
        <w:spacing w:after="0" w:line="480" w:lineRule="auto"/>
        <w:rPr>
          <w:b w:val="0"/>
          <w:bCs w:val="0"/>
        </w:rPr>
      </w:pPr>
      <w:r>
        <w:rPr>
          <w:b w:val="0"/>
          <w:bCs w:val="0"/>
          <w:vertAlign w:val="superscript"/>
        </w:rPr>
        <w:t xml:space="preserve">1 </w:t>
      </w:r>
      <w:r w:rsidR="000B172D">
        <w:rPr>
          <w:b w:val="0"/>
          <w:bCs w:val="0"/>
        </w:rPr>
        <w:t>University</w:t>
      </w:r>
      <w:r>
        <w:rPr>
          <w:b w:val="0"/>
          <w:bCs w:val="0"/>
        </w:rPr>
        <w:t xml:space="preserve"> of Hawaii at Manoa</w:t>
      </w:r>
    </w:p>
    <w:p w14:paraId="437FAD5E" w14:textId="0123DFC2" w:rsidR="004B487C" w:rsidRDefault="00000000">
      <w:pPr>
        <w:pStyle w:val="Heading1"/>
        <w:keepNext w:val="0"/>
        <w:keepLines w:val="0"/>
        <w:spacing w:after="0" w:line="480" w:lineRule="auto"/>
        <w:rPr>
          <w:b w:val="0"/>
          <w:bCs w:val="0"/>
        </w:rPr>
      </w:pPr>
      <w:r>
        <w:rPr>
          <w:b w:val="0"/>
          <w:bCs w:val="0"/>
          <w:vertAlign w:val="superscript"/>
        </w:rPr>
        <w:t xml:space="preserve">2 </w:t>
      </w:r>
      <w:r>
        <w:rPr>
          <w:b w:val="0"/>
          <w:bCs w:val="0"/>
        </w:rPr>
        <w:t xml:space="preserve">Department of Information, Research, and Professional Development, </w:t>
      </w:r>
      <w:r>
        <w:rPr>
          <w:b w:val="0"/>
          <w:bCs w:val="0"/>
        </w:rPr>
        <w:br/>
        <w:t>Helen Keller National Center.</w:t>
      </w:r>
    </w:p>
    <w:p w14:paraId="142ABDFA" w14:textId="77777777" w:rsidR="004B487C" w:rsidRDefault="00000000">
      <w:pPr>
        <w:pStyle w:val="Heading1"/>
        <w:keepNext w:val="0"/>
        <w:keepLines w:val="0"/>
        <w:spacing w:after="0" w:line="480" w:lineRule="auto"/>
        <w:rPr>
          <w:b w:val="0"/>
          <w:bCs w:val="0"/>
        </w:rPr>
      </w:pPr>
      <w:r>
        <w:rPr>
          <w:b w:val="0"/>
          <w:bCs w:val="0"/>
        </w:rPr>
        <w:t xml:space="preserve"> </w:t>
      </w:r>
    </w:p>
    <w:p w14:paraId="46C6D698" w14:textId="77777777" w:rsidR="004B487C" w:rsidRDefault="004B487C">
      <w:pPr>
        <w:spacing w:after="0" w:line="240" w:lineRule="auto"/>
        <w:ind w:firstLine="0"/>
        <w:jc w:val="center"/>
      </w:pPr>
    </w:p>
    <w:p w14:paraId="55235697" w14:textId="77777777" w:rsidR="004B487C" w:rsidRDefault="004B487C">
      <w:pPr>
        <w:ind w:firstLine="0"/>
        <w:jc w:val="center"/>
      </w:pPr>
    </w:p>
    <w:p w14:paraId="47BDC2BC" w14:textId="77777777" w:rsidR="004B487C" w:rsidRDefault="004B487C">
      <w:pPr>
        <w:jc w:val="center"/>
      </w:pPr>
    </w:p>
    <w:p w14:paraId="55E48501" w14:textId="77777777" w:rsidR="004B487C" w:rsidRDefault="004B487C"/>
    <w:p w14:paraId="3ACF67FB" w14:textId="77777777" w:rsidR="004B487C" w:rsidRDefault="004B487C">
      <w:pPr>
        <w:spacing w:line="480" w:lineRule="auto"/>
        <w:ind w:firstLine="0"/>
      </w:pPr>
    </w:p>
    <w:p w14:paraId="41D4E23F" w14:textId="77777777" w:rsidR="004B487C" w:rsidRDefault="004B487C">
      <w:pPr>
        <w:spacing w:line="480" w:lineRule="auto"/>
        <w:ind w:firstLine="0"/>
        <w:jc w:val="center"/>
        <w:rPr>
          <w:b/>
          <w:bCs/>
        </w:rPr>
      </w:pPr>
    </w:p>
    <w:p w14:paraId="1EF87177" w14:textId="77777777" w:rsidR="004B487C" w:rsidRDefault="004B487C">
      <w:pPr>
        <w:spacing w:line="480" w:lineRule="auto"/>
        <w:ind w:firstLine="0"/>
        <w:jc w:val="center"/>
        <w:rPr>
          <w:b/>
          <w:bCs/>
        </w:rPr>
      </w:pPr>
    </w:p>
    <w:p w14:paraId="3C25AF42" w14:textId="77777777" w:rsidR="004B487C" w:rsidRDefault="004B487C">
      <w:pPr>
        <w:spacing w:line="480" w:lineRule="auto"/>
        <w:ind w:firstLine="0"/>
        <w:rPr>
          <w:b/>
          <w:bCs/>
        </w:rPr>
      </w:pPr>
    </w:p>
    <w:p w14:paraId="6FE1E0BC" w14:textId="77777777" w:rsidR="00833A20" w:rsidRDefault="00833A20">
      <w:pPr>
        <w:spacing w:line="480" w:lineRule="auto"/>
        <w:ind w:firstLine="0"/>
        <w:rPr>
          <w:b/>
          <w:bCs/>
        </w:rPr>
      </w:pPr>
    </w:p>
    <w:p w14:paraId="4FB7C349" w14:textId="77777777" w:rsidR="00833A20" w:rsidRDefault="00833A20">
      <w:pPr>
        <w:spacing w:line="480" w:lineRule="auto"/>
        <w:ind w:firstLine="0"/>
        <w:jc w:val="center"/>
        <w:rPr>
          <w:b/>
          <w:bCs/>
        </w:rPr>
      </w:pPr>
    </w:p>
    <w:p w14:paraId="3961BEF3" w14:textId="77777777" w:rsidR="00833A20" w:rsidRDefault="00833A20">
      <w:pPr>
        <w:spacing w:line="480" w:lineRule="auto"/>
        <w:ind w:firstLine="0"/>
        <w:jc w:val="center"/>
        <w:rPr>
          <w:b/>
          <w:bCs/>
        </w:rPr>
      </w:pPr>
    </w:p>
    <w:p w14:paraId="0CC14654" w14:textId="57CB9D63" w:rsidR="004B487C" w:rsidRDefault="00000000">
      <w:pPr>
        <w:spacing w:line="480" w:lineRule="auto"/>
        <w:ind w:firstLine="0"/>
        <w:jc w:val="center"/>
        <w:rPr>
          <w:b/>
          <w:bCs/>
        </w:rPr>
      </w:pPr>
      <w:r>
        <w:rPr>
          <w:b/>
          <w:bCs/>
        </w:rPr>
        <w:t>Abstract</w:t>
      </w:r>
    </w:p>
    <w:p w14:paraId="6DB3C5B3" w14:textId="77777777" w:rsidR="004B487C" w:rsidRDefault="00000000" w:rsidP="00D93A95">
      <w:pPr>
        <w:spacing w:after="0" w:line="480" w:lineRule="auto"/>
        <w:ind w:firstLine="0"/>
      </w:pPr>
      <w:r>
        <w:t>Audio Description (AD) studies mostly focus on compositional concerns in audience-reception matters, such as comparing a description’s length, point of view, or word choices. This paper expands those boundaries, from the words of audience members, into broader disconnects caused by delivery approaches, environmental noises, or listening contexts that can constrain or fully disrupt public experiences.</w:t>
      </w:r>
    </w:p>
    <w:p w14:paraId="24B46548" w14:textId="77777777" w:rsidR="004B487C" w:rsidRDefault="00000000">
      <w:pPr>
        <w:spacing w:after="0" w:line="480" w:lineRule="auto"/>
      </w:pPr>
      <w:r>
        <w:rPr>
          <w:i/>
          <w:iCs/>
        </w:rPr>
        <w:t>Keywords:</w:t>
      </w:r>
      <w:r>
        <w:t xml:space="preserve"> Audio Description, </w:t>
      </w:r>
      <w:proofErr w:type="spellStart"/>
      <w:r>
        <w:t>DeafBlind</w:t>
      </w:r>
      <w:proofErr w:type="spellEnd"/>
      <w:r>
        <w:t>, Barriers, Blind, Low Vision, Constraints, Preferences</w:t>
      </w:r>
      <w:r>
        <w:br w:type="page"/>
      </w:r>
    </w:p>
    <w:p w14:paraId="433EA7A7" w14:textId="77777777" w:rsidR="00833A20" w:rsidRDefault="00833A20">
      <w:pPr>
        <w:ind w:firstLine="0"/>
        <w:jc w:val="center"/>
        <w:rPr>
          <w:b/>
          <w:bCs/>
        </w:rPr>
      </w:pPr>
    </w:p>
    <w:p w14:paraId="379E3B5F" w14:textId="75E73DE6" w:rsidR="004B487C" w:rsidRDefault="00000000">
      <w:pPr>
        <w:ind w:firstLine="0"/>
        <w:jc w:val="center"/>
        <w:rPr>
          <w:b/>
          <w:bCs/>
        </w:rPr>
      </w:pPr>
      <w:r>
        <w:rPr>
          <w:b/>
          <w:bCs/>
        </w:rPr>
        <w:t>Beyond Words: Reception of Audio Description in Public Places</w:t>
      </w:r>
    </w:p>
    <w:p w14:paraId="4C58788A" w14:textId="77777777" w:rsidR="004B487C" w:rsidRDefault="00000000">
      <w:pPr>
        <w:ind w:firstLine="0"/>
        <w:jc w:val="center"/>
      </w:pPr>
      <w:r>
        <w:rPr>
          <w:b/>
          <w:bCs/>
        </w:rPr>
        <w:t>Complicated by External Factors</w:t>
      </w:r>
    </w:p>
    <w:p w14:paraId="7915157B" w14:textId="77777777" w:rsidR="004B487C" w:rsidRDefault="00000000">
      <w:pPr>
        <w:spacing w:after="0" w:line="480" w:lineRule="auto"/>
      </w:pPr>
      <w:r>
        <w:t>An earnest, engaged, and growing group of researchers in recent years has taken on the challenges of audience-reception studies in Audio Description (AD), which generally focus on descriptions theoretically provided to listeners in public places. These studies have addressed what listeners think about in terms of the qualities of a description’s length, content, style, completeness, and even aspects of the vocal performances that separate synthetic and human voices delivering the descriptions, among other nuances. But because of the highly controlled and laboratory-like settings of many of these studies, researchers inherently are taking an abstracted leap of faith that these messages are getting through to the people who need them in the ways that they expect and want. Along the way, audience-reception researchers are making significant untested assumptions about the descriptions and how they pass from creator to listener, including about inextricable issues related to the user experience (UX), encompassing varied compositional concerns as well as issues related to usability, interaction design, accessibility, etc., of the descriptions but also of the interfaces that deliver them. In short, if the description does not get heard or heard clearly because of some reception issue unrelated to the compositional choices made by the AD writer, we contend that this is also a foundational reception issue, too, provoking a scholarly turn toward UX as a primary area of interest for audience-reception studies as well.</w:t>
      </w:r>
    </w:p>
    <w:p w14:paraId="38E5F73C" w14:textId="77777777" w:rsidR="004B487C" w:rsidRDefault="00000000">
      <w:pPr>
        <w:spacing w:after="0" w:line="480" w:lineRule="auto"/>
      </w:pPr>
      <w:r>
        <w:t xml:space="preserve">The intent of this paper, therefore, is to suggest that AD reception studies explicitly expand current boundaries to fully address and include UX issues as primary research problems within this academic area, not relegating those to external or unrelated statuses. As a step toward a deeper understanding of AD in practice, we feel compelled in this paper to </w:t>
      </w:r>
      <w:r>
        <w:lastRenderedPageBreak/>
        <w:t xml:space="preserve">complicate audience-reception approaches by bringing contextual UX concerns to the surface, </w:t>
      </w:r>
      <w:proofErr w:type="gramStart"/>
      <w:r>
        <w:t>as a way to</w:t>
      </w:r>
      <w:proofErr w:type="gramEnd"/>
      <w:r>
        <w:t xml:space="preserve"> create a more holistic understanding of what happens when AD is used in real-life use-case scenarios. Through repeated prompting by audience members, we were sensitized to these intertwined audience-reception and UX issues during a series of focus groups that we conducted with the initial aim of learning more about how to describe people (Conway et al., 2022). Yet our research participants kept wanting to discuss issues outside of compositional choices, which clearly also affected their impressions of a high-quality description of a person. </w:t>
      </w:r>
    </w:p>
    <w:p w14:paraId="694A93AF" w14:textId="77777777" w:rsidR="004B487C" w:rsidRDefault="00000000">
      <w:pPr>
        <w:spacing w:after="0" w:line="480" w:lineRule="auto"/>
      </w:pPr>
      <w:r>
        <w:t xml:space="preserve">Our findings suggest that audiences perceive much unintended noise in AD delivery ecosystems that muddies the signals intended as the core content for reception. Research attention in this area, therefore, should be expanded to acknowledge and address disruptive external factors, outside of the descriptive texts themselves, and those issues include misunderstanding the amount of time that a person </w:t>
      </w:r>
      <w:r>
        <w:rPr>
          <w:i/>
          <w:iCs/>
        </w:rPr>
        <w:t>wants</w:t>
      </w:r>
      <w:r>
        <w:t xml:space="preserve"> to spend hearing a description, inconsistencies and </w:t>
      </w:r>
      <w:proofErr w:type="spellStart"/>
      <w:r>
        <w:t>unreliabilities</w:t>
      </w:r>
      <w:proofErr w:type="spellEnd"/>
      <w:r>
        <w:t xml:space="preserve"> of the various delivery systems, and misaligned subject matter expertise causing content to be either too complicated or too simplistic. </w:t>
      </w:r>
    </w:p>
    <w:p w14:paraId="6D108713" w14:textId="77777777" w:rsidR="004B487C" w:rsidRDefault="00000000">
      <w:pPr>
        <w:spacing w:after="0" w:line="480" w:lineRule="auto"/>
      </w:pPr>
      <w:r>
        <w:t xml:space="preserve">Yet the situation with AD reception is not quite the same as concerns with other media forms, either. If an audience-reception study were conducted on a television program, for example, any researcher would generally know what TV is like, as a medium, and how people typically use it. Anyone who wants to access TV as content can easily do so with few obstacles in the way in terms of hardware and orientation. A researcher would be hard pressed to find a representative audience member in a first-world country who did not know what a TV is, or what a TV program is, or what the experience of watching TV is supposed to be like. The same can be said of radio programs heard in cars or movies watched in a theater, and many other examples of domesticated media sources. </w:t>
      </w:r>
    </w:p>
    <w:p w14:paraId="2E1AD053" w14:textId="77777777" w:rsidR="004B487C" w:rsidRDefault="00000000">
      <w:pPr>
        <w:spacing w:after="0" w:line="480" w:lineRule="auto"/>
      </w:pPr>
      <w:r>
        <w:lastRenderedPageBreak/>
        <w:t xml:space="preserve">AD, though, does not have such a well-defined use history or use context as a backstory. Most people do not have a direct personal or professional connection to this academic area or know much about related media-accessibility issues. Members of the </w:t>
      </w:r>
      <w:proofErr w:type="gramStart"/>
      <w:r>
        <w:t>general public</w:t>
      </w:r>
      <w:proofErr w:type="gramEnd"/>
      <w:r>
        <w:t xml:space="preserve">, especially people who are not blind or have low vision, often do not even know what AD is, as a formal term, let alone how it should be best produced and shared or what it should sound like, considering its best practices.  Even AD researchers, who come from diverse disciplinary backgrounds, might have widely varying understandings and beliefs about this nascent area of study. For better and worse, that’s because AD has grown across disciplinary boundaries and into a broadly flexible label that can represent a composed product (a piece of AD writing or audio) as well as a useful and pliable process, also called AD, designed for </w:t>
      </w:r>
      <w:proofErr w:type="spellStart"/>
      <w:r>
        <w:t>audibilizing</w:t>
      </w:r>
      <w:proofErr w:type="spellEnd"/>
      <w:r>
        <w:t xml:space="preserve"> visual information contained in static imagery, such as photographs, or in moving forms, such as video, or even in live events in physical environments, including dance, theater, and sporting events. With </w:t>
      </w:r>
      <w:proofErr w:type="gramStart"/>
      <w:r>
        <w:t>all of</w:t>
      </w:r>
      <w:proofErr w:type="gramEnd"/>
      <w:r>
        <w:t xml:space="preserve"> those diverse forms and formats of verbalizing what can be seen — primarily for the benefit of people who cannot see or cannot see well — AD exists in many shapes and sizes and gets studied from countless angles and through diverse approaches. Understandably, researchers trying to cut through the Gordian knot of such wild complexity have aimed their interests on final AD products and how those products are received by audience members.</w:t>
      </w:r>
    </w:p>
    <w:p w14:paraId="55B6D3B2" w14:textId="77777777" w:rsidR="004B487C" w:rsidRDefault="00000000">
      <w:pPr>
        <w:spacing w:after="0" w:line="480" w:lineRule="auto"/>
      </w:pPr>
      <w:r>
        <w:t xml:space="preserve">Yet nothing in the study of AD is really that simple or straightforward. The primary audiences for it </w:t>
      </w:r>
      <w:proofErr w:type="gramStart"/>
      <w:r>
        <w:t>are people who are</w:t>
      </w:r>
      <w:proofErr w:type="gramEnd"/>
      <w:r>
        <w:t xml:space="preserve"> blind, </w:t>
      </w:r>
      <w:proofErr w:type="spellStart"/>
      <w:r>
        <w:t>DeafBlind</w:t>
      </w:r>
      <w:proofErr w:type="spellEnd"/>
      <w:r>
        <w:t xml:space="preserve">, or who have low-vision or print dyslexia, but this inclusive medium is also useful to audio-oriented learners of all types, as well as to family members and friends of anyone who might benefit from AD as a way for people to process public media together through ears rather than eyes. Potential AD audience members, such as elderly people who are gradually losing their sight, for example, might not </w:t>
      </w:r>
      <w:r>
        <w:lastRenderedPageBreak/>
        <w:t xml:space="preserve">be familiar with it at all or even self-identify as </w:t>
      </w:r>
      <w:proofErr w:type="gramStart"/>
      <w:r>
        <w:t>low-vision</w:t>
      </w:r>
      <w:proofErr w:type="gramEnd"/>
      <w:r>
        <w:t xml:space="preserve">. Nor does AD have a typical venue or setting for use, or a particular technology stack used for audio transfer. Sometimes AD is expressed in human voice, for example, which can be created ad-hoc and in the moment by a friend or family member; AD also can be formally scripted and performed by a nearby stranger; sometimes those words are shared via synthetic voice, via recordings, in open or closed manners; sometimes there is no human performer at all, such as when audio files are generated by the audience member on the spot via specialized screen-reader software; but also, sometimes AD is not audible at all, such as when a person reads it in braille, possibly through an electronic braille display device connected to a smartphone. </w:t>
      </w:r>
    </w:p>
    <w:p w14:paraId="61E441CF" w14:textId="2DA2235F" w:rsidR="004B487C" w:rsidRDefault="00000000">
      <w:pPr>
        <w:pBdr>
          <w:top w:val="nil"/>
          <w:left w:val="nil"/>
          <w:bottom w:val="nil"/>
          <w:right w:val="nil"/>
          <w:between w:val="nil"/>
        </w:pBdr>
        <w:spacing w:line="480" w:lineRule="auto"/>
        <w:rPr>
          <w:color w:val="000000"/>
        </w:rPr>
      </w:pPr>
      <w:r>
        <w:rPr>
          <w:color w:val="000000"/>
        </w:rPr>
        <w:t xml:space="preserve">With such complexity in use cases and audience preferences, a lot of variables </w:t>
      </w:r>
      <w:proofErr w:type="gramStart"/>
      <w:r>
        <w:rPr>
          <w:color w:val="000000"/>
        </w:rPr>
        <w:t>have to</w:t>
      </w:r>
      <w:proofErr w:type="gramEnd"/>
      <w:r>
        <w:rPr>
          <w:color w:val="000000"/>
        </w:rPr>
        <w:t xml:space="preserve"> align for AD to make sense, with the listener in the right place, with the right working tech, and in the right state of mind to reach the moment where the content can actually start flowing</w:t>
      </w:r>
      <w:r>
        <w:t>,</w:t>
      </w:r>
      <w:r>
        <w:rPr>
          <w:color w:val="000000"/>
        </w:rPr>
        <w:t xml:space="preserve"> and evaluation of that content is warranted. As our focus group participants expressed, a lot can happen </w:t>
      </w:r>
      <w:r>
        <w:t>in between</w:t>
      </w:r>
      <w:r>
        <w:rPr>
          <w:color w:val="000000"/>
        </w:rPr>
        <w:t xml:space="preserve">. That sentiment became a theme of our findings. Our participants not only identified actual or possible obstacles to AD reception, </w:t>
      </w:r>
      <w:r>
        <w:t xml:space="preserve">but </w:t>
      </w:r>
      <w:r>
        <w:rPr>
          <w:color w:val="000000"/>
        </w:rPr>
        <w:t>they also identified subterranean concerns, rarely articulated in AD reception studies. This paper thereby not only aims to complicate understandings of AD and AD delivery systems, through audience member voices, in ways that enrich and strengthen research happening within audience-reception studies, but it also is intended to raise flags about what our laboratory-like reviews of AD really can tell us, with what certainty, and where they also might be leading us astray by the severe constraints of the perspective. We also hope this approach opens new paths of inquiry in this area.</w:t>
      </w:r>
    </w:p>
    <w:p w14:paraId="0CBD7C7E" w14:textId="77777777" w:rsidR="004B487C" w:rsidRDefault="004B487C">
      <w:pPr>
        <w:spacing w:line="480" w:lineRule="auto"/>
        <w:rPr>
          <w:b/>
          <w:bCs/>
        </w:rPr>
      </w:pPr>
    </w:p>
    <w:p w14:paraId="5C5D9C87" w14:textId="77777777" w:rsidR="004B487C" w:rsidRDefault="004B487C">
      <w:pPr>
        <w:spacing w:line="480" w:lineRule="auto"/>
        <w:rPr>
          <w:b/>
          <w:bCs/>
        </w:rPr>
      </w:pPr>
    </w:p>
    <w:p w14:paraId="0E4ACE13" w14:textId="77777777" w:rsidR="004B487C" w:rsidRDefault="00000000">
      <w:pPr>
        <w:spacing w:after="0" w:line="480" w:lineRule="auto"/>
        <w:ind w:firstLine="0"/>
        <w:jc w:val="center"/>
        <w:rPr>
          <w:b/>
          <w:bCs/>
        </w:rPr>
      </w:pPr>
      <w:r>
        <w:rPr>
          <w:b/>
          <w:bCs/>
        </w:rPr>
        <w:t>Literature Review</w:t>
      </w:r>
    </w:p>
    <w:p w14:paraId="66D05903" w14:textId="77777777" w:rsidR="004B487C" w:rsidRDefault="00000000">
      <w:pPr>
        <w:spacing w:after="0" w:line="480" w:lineRule="auto"/>
      </w:pPr>
      <w:r>
        <w:t xml:space="preserve">People who are blind or who have </w:t>
      </w:r>
      <w:proofErr w:type="gramStart"/>
      <w:r>
        <w:t>low-vision</w:t>
      </w:r>
      <w:proofErr w:type="gramEnd"/>
      <w:r>
        <w:t xml:space="preserve"> have been an integrated part of diverse societies throughout world history, including throughout American history (Miles, 2003; Nielsen, 2012; </w:t>
      </w:r>
      <w:proofErr w:type="spellStart"/>
      <w:r>
        <w:t>Tikao</w:t>
      </w:r>
      <w:proofErr w:type="spellEnd"/>
      <w:r>
        <w:t xml:space="preserve"> et al., 2009). About 1 billion people worldwide have visual impairments (WHO, 2025), including about 12 million in the United States (CDC, 2025), and as media in global societies has become much more visually oriented, a robust response has been necessary to avoid further excluding people from public discourse and societal concerns, based only on a person’s visual acuity. AD has become the primary response, and demand for it is high, with 99 percent of respondents to an international World Blind Union / American Council of the Blind survey (2018) saying that they think AD should be more widely available in public places and public forums throughout the world. Yet that does not mean AD audiences will doggedly overcome any obstacle, no matter how daunting, to hear it. In fact, the opposite argument might be a more probable hypothesis, based on our focus group discussions and other AD research experiences we’ve had during the past decade: Audiences will listen to AD in public places, if everything goes right, but if any significant hurdle appears, the whole system can be shut down in frustrating ways for everyone involved.</w:t>
      </w:r>
    </w:p>
    <w:p w14:paraId="61F3A513" w14:textId="77777777" w:rsidR="004B487C" w:rsidRDefault="00000000">
      <w:pPr>
        <w:spacing w:line="480" w:lineRule="auto"/>
      </w:pPr>
      <w:r>
        <w:t xml:space="preserve">While AD has been used as a method of verbalizing the visual, researchers theorize, since the first blind person in ancient times turned to a friend and asked, “What’s happening now?” (Snyder, 2020), academic interest in AD — both the processes and the products — is relatively new. The first known academic work appeared in the 1970s, spurred by the Rehabilitation Act of 1973 in the United States, and then others, mostly practitioners, started to experiment with AD in the 1980s. Only in the early 2000s, though, did a sizable community of scholars finally start to gather around this area of interest (Fryer, 2016; Koirala </w:t>
      </w:r>
      <w:r>
        <w:lastRenderedPageBreak/>
        <w:t xml:space="preserve">&amp; </w:t>
      </w:r>
      <w:proofErr w:type="spellStart"/>
      <w:r>
        <w:t>Oppegaard</w:t>
      </w:r>
      <w:proofErr w:type="spellEnd"/>
      <w:r>
        <w:t xml:space="preserve">, 2022; </w:t>
      </w:r>
      <w:proofErr w:type="spellStart"/>
      <w:r>
        <w:t>Maszerowska</w:t>
      </w:r>
      <w:proofErr w:type="spellEnd"/>
      <w:r>
        <w:t xml:space="preserve"> et al., 2014; </w:t>
      </w:r>
      <w:proofErr w:type="spellStart"/>
      <w:r>
        <w:t>Matamala</w:t>
      </w:r>
      <w:proofErr w:type="spellEnd"/>
      <w:r>
        <w:t xml:space="preserve"> &amp; Orero, 2016; </w:t>
      </w:r>
      <w:proofErr w:type="spellStart"/>
      <w:r>
        <w:t>Perego</w:t>
      </w:r>
      <w:proofErr w:type="spellEnd"/>
      <w:r>
        <w:t xml:space="preserve">, 2018). </w:t>
      </w:r>
    </w:p>
    <w:p w14:paraId="5B10B3B3" w14:textId="77777777" w:rsidR="004B487C" w:rsidRDefault="00000000">
      <w:pPr>
        <w:spacing w:after="0" w:line="480" w:lineRule="auto"/>
      </w:pPr>
      <w:r>
        <w:t xml:space="preserve">Since then, AD research has grown rapidly around the world, especially in Europe, and these studies have diverged into many paths of inquiry. Scholars, for example, have clustered concerns around historical developments of AD, policy and legal issues, definitional debates, modes of description (i.e. static vs. dynamic), contexts of description (i.e., theater, dance, museum, national park, sports), subgenres of description (i.e., in movies, horror vs. comedy vs. romance), types of description (i.e., describing people, objects, maps), behind-the-scenes production techniques, performance styles, machine voice vs. human voice, technical skills (writing, organization, labeling), screen-reader software, screen-reader speeds, objectivity vs. subjectivity, and so on.  (Fryer, 2016; Koirala &amp; </w:t>
      </w:r>
      <w:proofErr w:type="spellStart"/>
      <w:r>
        <w:t>Oppegaard</w:t>
      </w:r>
      <w:proofErr w:type="spellEnd"/>
      <w:r>
        <w:t xml:space="preserve">, 2022; </w:t>
      </w:r>
      <w:proofErr w:type="spellStart"/>
      <w:r>
        <w:t>Maszerowska</w:t>
      </w:r>
      <w:proofErr w:type="spellEnd"/>
      <w:r>
        <w:t xml:space="preserve"> et al., 2014; </w:t>
      </w:r>
      <w:proofErr w:type="spellStart"/>
      <w:r>
        <w:t>Matamala</w:t>
      </w:r>
      <w:proofErr w:type="spellEnd"/>
      <w:r>
        <w:t xml:space="preserve"> &amp; Orero, 2016; Snyder, 2020). As a popular academic paradigm, audience-reception studies have become a matter of interest that crosses into multiple scholarly territories and typically involve experiments gauging description metrics, such as overall length of a description (Is it too long? Or too short?), as well as measures of what content is included and excluded (Fresno et al., 2014). What seems often overlooked in these common approaches to this type of study, and what also needs further attention, is whether a listener is </w:t>
      </w:r>
      <w:r>
        <w:rPr>
          <w:i/>
          <w:iCs/>
        </w:rPr>
        <w:t>ready</w:t>
      </w:r>
      <w:r>
        <w:t xml:space="preserve"> to engage with such description, for how long, and with what effects, and if any obstacles will disrupt such engagement. </w:t>
      </w:r>
    </w:p>
    <w:p w14:paraId="2ACAC627" w14:textId="77777777" w:rsidR="004B487C" w:rsidRDefault="00000000">
      <w:pPr>
        <w:spacing w:after="0" w:line="480" w:lineRule="auto"/>
        <w:rPr>
          <w:highlight w:val="yellow"/>
        </w:rPr>
      </w:pPr>
      <w:r>
        <w:t xml:space="preserve">In this study’s context, descriptions are chiefly envisioned as being shared at a public attraction, such as at a national park (i.e., Parker et al., 2025). The intent of these descriptions is to provide an equivalent informational exchange to an otherwise inaccessible activity for a blind person, such as when a paper brochure is handed to a sighted park visitor, and an audio-described version of that same brochure is provided to a blind person as a way to share the same basic information, including the remediation of photos, maps, and charts (Hartley &amp; </w:t>
      </w:r>
      <w:proofErr w:type="spellStart"/>
      <w:r>
        <w:lastRenderedPageBreak/>
        <w:t>Oppegaard</w:t>
      </w:r>
      <w:proofErr w:type="spellEnd"/>
      <w:r>
        <w:t xml:space="preserve">, 2024). In other words, we positioned the focus group and interview questions as if the participant had already become “travel active,” as Packer et al. (2007) describe the state of mind. In this scenario, the participant had encountered a description of a piece of public media and was providing feedback about that description. But even in our focus group scenario, our participants had difficulty maintaining that “travel active” mindset, emphasizing its importance in terms of engagement, and instead kept returning to barriers to travel described by the model named after Packer et al. (2007), but also developed by Small et al. (2012) and Yau et al. (2004). The focus group members never explicitly said something like they were not “travel active” yet, and our focus group moderator did not immediately recognize and address that state-of-mind concern, leading to responses about descriptions that have roots in contextual dissonance rather than </w:t>
      </w:r>
      <w:proofErr w:type="gramStart"/>
      <w:r>
        <w:t>actually reflecting</w:t>
      </w:r>
      <w:proofErr w:type="gramEnd"/>
      <w:r>
        <w:t xml:space="preserve"> on the qualities of the descriptions, which were only clear afterward during review and analysis of the transcripts. Instead of considering these off-topic comments as outliers, in hindsight, this push by participants seemed to be the point they were trying to make to anyone who would listen.</w:t>
      </w:r>
    </w:p>
    <w:p w14:paraId="40207DC4" w14:textId="22708829" w:rsidR="004B487C" w:rsidRDefault="00000000" w:rsidP="00D93A95">
      <w:pPr>
        <w:spacing w:after="0" w:line="480" w:lineRule="auto"/>
        <w:ind w:firstLine="0"/>
      </w:pPr>
      <w:r>
        <w:rPr>
          <w:b/>
          <w:bCs/>
        </w:rPr>
        <w:t xml:space="preserve">                                                               Method</w:t>
      </w:r>
      <w:r>
        <w:rPr>
          <w:b/>
          <w:bCs/>
        </w:rPr>
        <w:br/>
      </w:r>
      <w:r>
        <w:rPr>
          <w:b/>
          <w:bCs/>
        </w:rPr>
        <w:tab/>
      </w:r>
      <w:r>
        <w:t xml:space="preserve">In terms of positionality, the authors of this paper have a mix of insider/outsider use of AD, research experience, and visual acuity: One author is </w:t>
      </w:r>
      <w:proofErr w:type="spellStart"/>
      <w:r>
        <w:t>DeafBlind</w:t>
      </w:r>
      <w:proofErr w:type="spellEnd"/>
      <w:r>
        <w:t xml:space="preserve">; one is blind; one has corrective glasses for reading, and another has corrective glasses for everyday use. Two of the authors have been studying AD professionally for longer than a decade, and two of the authors are graduate students, relatively new to the nuances of this research field. </w:t>
      </w:r>
    </w:p>
    <w:p w14:paraId="39859980" w14:textId="77777777" w:rsidR="004B487C" w:rsidRDefault="00000000" w:rsidP="00D93A95">
      <w:pPr>
        <w:spacing w:after="0" w:line="480" w:lineRule="auto"/>
      </w:pPr>
      <w:r>
        <w:t xml:space="preserve">Participants for this study were recruited through postings on listservs catering to </w:t>
      </w:r>
      <w:proofErr w:type="spellStart"/>
      <w:r>
        <w:t>DeafBlind</w:t>
      </w:r>
      <w:proofErr w:type="spellEnd"/>
      <w:r>
        <w:t xml:space="preserve"> people as well as through outreach via the Blinded Veterans Association and the American Council of the Blind. In total, 15 people who are </w:t>
      </w:r>
      <w:proofErr w:type="spellStart"/>
      <w:r>
        <w:t>DeafBlind</w:t>
      </w:r>
      <w:proofErr w:type="spellEnd"/>
      <w:r>
        <w:t xml:space="preserve"> or blind took part in this research via a total of five small in-person or Zoom-facilitated focus groups and two </w:t>
      </w:r>
      <w:r>
        <w:lastRenderedPageBreak/>
        <w:t xml:space="preserve">face-to-face individual interviews, all based on individual audience member needs and preferences (Conway et al., 2023). These groups and interviews were preceded by a pilot study with </w:t>
      </w:r>
      <w:proofErr w:type="spellStart"/>
      <w:r>
        <w:t>DeafBlind</w:t>
      </w:r>
      <w:proofErr w:type="spellEnd"/>
      <w:r>
        <w:t xml:space="preserve"> and blind Helen Keller Services staff members </w:t>
      </w:r>
      <w:proofErr w:type="gramStart"/>
      <w:r>
        <w:t>as a way to</w:t>
      </w:r>
      <w:proofErr w:type="gramEnd"/>
      <w:r>
        <w:t xml:space="preserve"> hone and test the research questions before introducing them to this group. The same questions were used in each context, whether it was a focus group or an individual interview. </w:t>
      </w:r>
    </w:p>
    <w:p w14:paraId="555EA069" w14:textId="77777777" w:rsidR="004B487C" w:rsidRDefault="00000000">
      <w:pPr>
        <w:spacing w:after="0" w:line="480" w:lineRule="auto"/>
      </w:pPr>
      <w:r>
        <w:t xml:space="preserve">For this convenience sample, the researchers received initial responses from 25 people who were interested in participating in the study. But over the course of scheduling and conducting the sessions, 10 of those people did not end up participating for various reasons. Each participant was asked to complete an IRB-approved demographic survey and screening survey, and from there, the individual was assigned to either a focus group or an individual interview, based on communication needs, skills, and available technologies. Individual interviews were conducted, for example, with participants who had significant obstacles to joining a focus group over Zoom. </w:t>
      </w:r>
    </w:p>
    <w:p w14:paraId="2A3CBEFA" w14:textId="77777777" w:rsidR="004B487C" w:rsidRDefault="00000000">
      <w:pPr>
        <w:spacing w:after="0" w:line="480" w:lineRule="auto"/>
      </w:pPr>
      <w:r>
        <w:t xml:space="preserve">In terms of the demographics of the sample, the participants reported themselves as nine males, five females, and one non-binary participant; 10 self-identified as White, two as Black, and one of each in the following three categories: 1. American Indian, Alaskan Native, or Indigenous; 2. Hispanic, Latino/a/x, or Spanish origin; and 3. Multiracial or Multiethnic. In terms of age, two participants were aged 26-35, three 36-45, four 46-55, four 56-65, and two 66-75. All participants in this study were legally blind; nine of them also identified themselves as </w:t>
      </w:r>
      <w:proofErr w:type="spellStart"/>
      <w:r>
        <w:t>DeafBlind</w:t>
      </w:r>
      <w:proofErr w:type="spellEnd"/>
      <w:r>
        <w:t>.</w:t>
      </w:r>
    </w:p>
    <w:p w14:paraId="777746B2" w14:textId="77777777" w:rsidR="004B487C" w:rsidRDefault="00000000">
      <w:pPr>
        <w:spacing w:after="0" w:line="480" w:lineRule="auto"/>
      </w:pPr>
      <w:r>
        <w:t xml:space="preserve">The focus groups/interviews were conducted by one of the paper’s authors, who is </w:t>
      </w:r>
      <w:proofErr w:type="spellStart"/>
      <w:r>
        <w:t>DeafBlind</w:t>
      </w:r>
      <w:proofErr w:type="spellEnd"/>
      <w:r>
        <w:t xml:space="preserve">, with support from a research assistant. Each session lasted about 90 minutes. ASL interpreters were provided for some participants whose first language was ASL. With our plan to focus on a national park scenario, during which participants received an AD of a park </w:t>
      </w:r>
      <w:r>
        <w:lastRenderedPageBreak/>
        <w:t xml:space="preserve">brochure, the participants were initially asked about preferences when people were being described to them, including their concerns for describing gender, age, and race/ethnicity. But our grounded-theory findings instead clustered under surprising themes about other topics of concern, too. The focus group and interviews were transcribed, and each transcript individually was analyzed by at least two researchers on the project who did not lead the group discussions or interviews, identifying thought units via open coding, then organizing those thought units via axial coding, and then clustering emergent themes of thought units based on multiple rounds of discussion and analysis based on those axial codes. </w:t>
      </w:r>
    </w:p>
    <w:p w14:paraId="35E01E9D" w14:textId="77777777" w:rsidR="004B487C" w:rsidRDefault="00000000">
      <w:pPr>
        <w:spacing w:after="0" w:line="480" w:lineRule="auto"/>
        <w:ind w:firstLine="0"/>
        <w:rPr>
          <w:i/>
          <w:iCs/>
        </w:rPr>
      </w:pPr>
      <w:r>
        <w:rPr>
          <w:b/>
          <w:bCs/>
          <w:i/>
          <w:iCs/>
        </w:rPr>
        <w:t>Limitations</w:t>
      </w:r>
    </w:p>
    <w:p w14:paraId="720341ED" w14:textId="77777777" w:rsidR="004B487C" w:rsidRDefault="00000000">
      <w:pPr>
        <w:spacing w:after="0" w:line="480" w:lineRule="auto"/>
      </w:pPr>
      <w:r>
        <w:rPr>
          <w:color w:val="000000"/>
        </w:rPr>
        <w:t xml:space="preserve">Participants were recruited through disability-focused organizations using a convenience sampling approach. While this strategy was appropriate for an exploratory qualitative study, it limits the extent to which the findings can be generalized across the broader and highly heterogeneous populations of people who are blind, </w:t>
      </w:r>
      <w:proofErr w:type="spellStart"/>
      <w:r>
        <w:rPr>
          <w:color w:val="000000"/>
        </w:rPr>
        <w:t>DeafBlind</w:t>
      </w:r>
      <w:proofErr w:type="spellEnd"/>
      <w:r>
        <w:rPr>
          <w:color w:val="000000"/>
        </w:rPr>
        <w:t xml:space="preserve">, or who have </w:t>
      </w:r>
      <w:proofErr w:type="gramStart"/>
      <w:r>
        <w:rPr>
          <w:color w:val="000000"/>
        </w:rPr>
        <w:t>low-vision</w:t>
      </w:r>
      <w:proofErr w:type="gramEnd"/>
      <w:r>
        <w:rPr>
          <w:color w:val="000000"/>
        </w:rPr>
        <w:t>. Participants who self-selected into the study may have had greater familiarity with and interest in accessibility discourse, AD, or advocacy contexts than individuals who did not participate.</w:t>
      </w:r>
    </w:p>
    <w:p w14:paraId="02051996" w14:textId="77777777" w:rsidR="004B487C" w:rsidRDefault="00000000">
      <w:pPr>
        <w:spacing w:after="0" w:line="480" w:lineRule="auto"/>
      </w:pPr>
      <w:r>
        <w:rPr>
          <w:color w:val="000000"/>
        </w:rPr>
        <w:t>Data were collected primarily through multiple focus groups and two individual interviews. Focus groups allowed participants to articulate shared concerns and identify systemic issues, but group dynamics may have influenced which topics were emphasized, and some individual perspectives may have been underrepresented. The two interviews provided opportunities for more personalized reflection, yet their small number limits the extent to which these perspectives can counterbalance group-level effects.</w:t>
      </w:r>
    </w:p>
    <w:p w14:paraId="18B345F8" w14:textId="77777777" w:rsidR="004B487C" w:rsidRDefault="00000000">
      <w:pPr>
        <w:spacing w:after="0" w:line="480" w:lineRule="auto"/>
      </w:pPr>
      <w:r>
        <w:rPr>
          <w:color w:val="000000"/>
        </w:rPr>
        <w:t xml:space="preserve">Although the study originally foregrounded descriptions of people, the analysis shifted toward broader contextual and institutional factors affecting the reception and </w:t>
      </w:r>
      <w:r>
        <w:rPr>
          <w:color w:val="000000"/>
        </w:rPr>
        <w:lastRenderedPageBreak/>
        <w:t>usefulness of AD. This shift emerged naturally from participants’ discussions and reflects their stated priorities. However, it also means that some dimensions of AD, such as specific delivery techniques or stylistic preferences</w:t>
      </w:r>
      <w:r>
        <w:t>,</w:t>
      </w:r>
      <w:r>
        <w:rPr>
          <w:color w:val="000000"/>
        </w:rPr>
        <w:t xml:space="preserve"> were explored in less depth than would be possible in a study explicitly designed around those elements.</w:t>
      </w:r>
    </w:p>
    <w:p w14:paraId="308FF099" w14:textId="77777777" w:rsidR="004B487C" w:rsidRDefault="00000000">
      <w:pPr>
        <w:spacing w:after="0" w:line="480" w:lineRule="auto"/>
      </w:pPr>
      <w:r>
        <w:rPr>
          <w:color w:val="000000"/>
        </w:rPr>
        <w:t xml:space="preserve">This study included participants who identified as blind, </w:t>
      </w:r>
      <w:proofErr w:type="spellStart"/>
      <w:r>
        <w:rPr>
          <w:color w:val="000000"/>
        </w:rPr>
        <w:t>DeafBlind</w:t>
      </w:r>
      <w:proofErr w:type="spellEnd"/>
      <w:r>
        <w:rPr>
          <w:color w:val="000000"/>
        </w:rPr>
        <w:t xml:space="preserve">, or having low vision, which are distinct populations with differing sensory experiences, communication practices, and access needs. Due to sample size and the exploratory nature of the research, the analysis did not disaggregate findings by disability group. As a result, the reported themes may obscure important differences in how blind and </w:t>
      </w:r>
      <w:proofErr w:type="spellStart"/>
      <w:r>
        <w:rPr>
          <w:color w:val="000000"/>
        </w:rPr>
        <w:t>DeafBlind</w:t>
      </w:r>
      <w:proofErr w:type="spellEnd"/>
      <w:r>
        <w:rPr>
          <w:color w:val="000000"/>
        </w:rPr>
        <w:t xml:space="preserve"> participants experience and conceptualize AD. Future research would benefit from disability-specific analyses that more fully account for these distinctions.</w:t>
      </w:r>
    </w:p>
    <w:p w14:paraId="1D0DDC39" w14:textId="77777777" w:rsidR="004B487C" w:rsidRDefault="00000000">
      <w:pPr>
        <w:spacing w:after="0" w:line="480" w:lineRule="auto"/>
        <w:rPr>
          <w:b/>
          <w:bCs/>
        </w:rPr>
      </w:pPr>
      <w:r>
        <w:rPr>
          <w:color w:val="000000"/>
        </w:rPr>
        <w:t xml:space="preserve">Data collection relied on spoken communication and interpreter-mediated exchanges, particularly for </w:t>
      </w:r>
      <w:proofErr w:type="spellStart"/>
      <w:r>
        <w:rPr>
          <w:color w:val="000000"/>
        </w:rPr>
        <w:t>DeafBlind</w:t>
      </w:r>
      <w:proofErr w:type="spellEnd"/>
      <w:r>
        <w:rPr>
          <w:color w:val="000000"/>
        </w:rPr>
        <w:t xml:space="preserve"> participants. This reliance may have shaped how experiences were expressed and interpreted, potentially underrepresenting nuances related to tactile communication, pacing, or co-presence that are central to </w:t>
      </w:r>
      <w:proofErr w:type="spellStart"/>
      <w:r>
        <w:rPr>
          <w:color w:val="000000"/>
        </w:rPr>
        <w:t>DeafBlind</w:t>
      </w:r>
      <w:proofErr w:type="spellEnd"/>
      <w:r>
        <w:rPr>
          <w:color w:val="000000"/>
        </w:rPr>
        <w:t xml:space="preserve"> experiences of accessibility.</w:t>
      </w:r>
    </w:p>
    <w:p w14:paraId="37C64ADA" w14:textId="77777777" w:rsidR="004B487C" w:rsidRDefault="00000000">
      <w:pPr>
        <w:spacing w:after="0" w:line="480" w:lineRule="auto"/>
        <w:ind w:firstLine="0"/>
        <w:jc w:val="center"/>
        <w:rPr>
          <w:b/>
          <w:bCs/>
        </w:rPr>
      </w:pPr>
      <w:r>
        <w:rPr>
          <w:b/>
          <w:bCs/>
        </w:rPr>
        <w:t>Findings</w:t>
      </w:r>
    </w:p>
    <w:p w14:paraId="4D32665C" w14:textId="77777777" w:rsidR="004B487C" w:rsidRDefault="00000000">
      <w:pPr>
        <w:spacing w:after="0" w:line="480" w:lineRule="auto"/>
      </w:pPr>
      <w:r>
        <w:t xml:space="preserve">While the original intent of the study was to focus on findings that related to best practices for making descriptions of people, in general, the interviews and the focus groups kept sprouting lively discussions about obstacles in the way of description audiences that occurred before the descriptions of people could do their work. Participants stated their description preferences in response to the study’s questions, but then they also packaged those responses with suggestions displaying awareness of the contextual constraints that might inhibit or otherwise shape those preferences. Instead of suppressing those discussions </w:t>
      </w:r>
      <w:r>
        <w:lastRenderedPageBreak/>
        <w:t xml:space="preserve">or constantly changing the subject back specifically to the scope of people descriptions, we allowed those side conversations to continue and to grow to some extent as a way to enrich our understanding of the entire cycle of an AD activity, within its context, from initial interest in a description to the reception of the description to the memory-building moments after hearing the description, as a way to better understand the complexities of the reception process in a larger context. </w:t>
      </w:r>
    </w:p>
    <w:p w14:paraId="218DB71C" w14:textId="77777777" w:rsidR="004B487C" w:rsidRDefault="00000000">
      <w:pPr>
        <w:spacing w:after="0" w:line="480" w:lineRule="auto"/>
      </w:pPr>
      <w:r>
        <w:t xml:space="preserve">In this process of coding and clustering thought units, we found a surprising grouping of ideas at the top of mind for our participants that transcended descriptions of people and addressed AD reception in a more general sense. Those transcendent clusters focused on three topics that we think deserve further attention in AD research in terms of grounding and contextualizing the reception process: 1. Time on task matters (but not necessarily related to a description’s length), 2. Delivery methods matter, and 3. Subject matter expertise. While other evidence of themes also could have been teased out of this data and expanded upon, each of these three examples of contextual issues provides expansion of audience-reception issues and should be considered as evidence of what potential for expansion in this area is out there in the wild, not the totality or the extent of the possible subtopics. </w:t>
      </w:r>
    </w:p>
    <w:p w14:paraId="54B65EEC" w14:textId="77777777" w:rsidR="004B487C" w:rsidRDefault="00000000">
      <w:pPr>
        <w:spacing w:after="0" w:line="480" w:lineRule="auto"/>
        <w:rPr>
          <w:b/>
          <w:bCs/>
          <w:i/>
          <w:iCs/>
        </w:rPr>
      </w:pPr>
      <w:r>
        <w:t xml:space="preserve">In this vein, researchers need to better understand how factors outside of the description itself can affect the listener, setting up situations in which the same description can be heard and interpreted and evaluated differently, even by the same person, when the timing and context have changed, even in subtle ways. For example, a person might be eager and open to hearing a long storytelling-style description if that person is in a quiet and passive moment, during which family and friends also are taking in the various media around them. But that same person, in that same place, with the same interests, might be frustrated and impatient with that style of description if a family member or friend in the group is ready </w:t>
      </w:r>
      <w:r>
        <w:lastRenderedPageBreak/>
        <w:t xml:space="preserve">and eager to move on to the next spot. In that case, the person might want a more direct description approach to get the information while the opportunity is available. In addition, </w:t>
      </w:r>
      <w:r>
        <w:rPr>
          <w:color w:val="000000"/>
        </w:rPr>
        <w:t>these findings are situated within specific cultural and institutional contexts, particularly national parks in the United States. Access infrastructures, staffing practices, and disability norms vary widely across countries and institutional environments; therefore, the transferability of these findings to other contexts may be limited.</w:t>
      </w:r>
      <w:r>
        <w:t xml:space="preserve"> </w:t>
      </w:r>
      <w:r>
        <w:rPr>
          <w:color w:val="000000"/>
        </w:rPr>
        <w:t>Together, these limitations point to the need for future research that combines qualitative audience perspectives with disability-specific analyses, alternative communication modalities, and field-based methods in a wider range of cultural and institutional settings.</w:t>
      </w:r>
    </w:p>
    <w:p w14:paraId="736474F3" w14:textId="77777777" w:rsidR="004B487C" w:rsidRDefault="00000000">
      <w:pPr>
        <w:spacing w:after="0" w:line="480" w:lineRule="auto"/>
        <w:ind w:firstLine="0"/>
        <w:rPr>
          <w:b/>
          <w:bCs/>
        </w:rPr>
      </w:pPr>
      <w:r>
        <w:rPr>
          <w:b/>
          <w:bCs/>
        </w:rPr>
        <w:t>Time on Task Matters</w:t>
      </w:r>
    </w:p>
    <w:p w14:paraId="6FE779B9" w14:textId="4033AC4F" w:rsidR="004B487C" w:rsidRDefault="00000000">
      <w:pPr>
        <w:spacing w:after="0" w:line="480" w:lineRule="auto"/>
      </w:pPr>
      <w:r>
        <w:t xml:space="preserve">Everyone has a different agenda, different interests, and different needs when it comes to AD. But rarely acknowledged is the idea that even the same person will have different needs for a description at different times, so researchers need to become more inclusive of the idea that there </w:t>
      </w:r>
      <w:proofErr w:type="gramStart"/>
      <w:r>
        <w:t>is no one-description-fits-all and at all times</w:t>
      </w:r>
      <w:proofErr w:type="gramEnd"/>
      <w:r>
        <w:t xml:space="preserve"> probabilities. Even the same person in a different moment might have different needs. So instead of researchers asking how long the description should be, maybe the better question for the audience member is: How much time do you have right now for this description, and in what compositional style do you want it?</w:t>
      </w:r>
    </w:p>
    <w:p w14:paraId="1E359A2E" w14:textId="77777777" w:rsidR="004B487C" w:rsidRDefault="00000000">
      <w:pPr>
        <w:pBdr>
          <w:top w:val="nil"/>
          <w:left w:val="nil"/>
          <w:bottom w:val="nil"/>
          <w:right w:val="nil"/>
          <w:between w:val="nil"/>
        </w:pBdr>
        <w:spacing w:after="0" w:line="480" w:lineRule="auto"/>
        <w:rPr>
          <w:color w:val="000000"/>
        </w:rPr>
      </w:pPr>
      <w:r>
        <w:rPr>
          <w:color w:val="000000"/>
        </w:rPr>
        <w:t>Responses</w:t>
      </w:r>
      <w:r>
        <w:t>,</w:t>
      </w:r>
      <w:r>
        <w:rPr>
          <w:color w:val="000000"/>
        </w:rPr>
        <w:t xml:space="preserve"> therefore</w:t>
      </w:r>
      <w:r>
        <w:t>,</w:t>
      </w:r>
      <w:r>
        <w:rPr>
          <w:color w:val="000000"/>
        </w:rPr>
        <w:t xml:space="preserve"> should be considered as fluid and provisional in nature, like a snapshot in time, and based </w:t>
      </w:r>
      <w:r>
        <w:t xml:space="preserve">on </w:t>
      </w:r>
      <w:r>
        <w:rPr>
          <w:color w:val="000000"/>
        </w:rPr>
        <w:t>a time context, rather than as an enduring and universal response. We know that is not what researchers want to hear, but that is what audience members wanted to express. On many occasions in our study</w:t>
      </w:r>
      <w:r>
        <w:t>,</w:t>
      </w:r>
      <w:r>
        <w:rPr>
          <w:color w:val="000000"/>
        </w:rPr>
        <w:t xml:space="preserve"> when a factor was mentioned that might affect a participant’s description preference, it was strongly linked to time, usually related to the time available for the description to be heard in a useful place. A low-vision </w:t>
      </w:r>
      <w:r>
        <w:rPr>
          <w:color w:val="000000"/>
        </w:rPr>
        <w:lastRenderedPageBreak/>
        <w:t>non-binary participant, 36- to 45-years-old, for example, said of having paintings featuring multiple people described, “if there are 20 people, you know, you don't have the time to describe everything of that 20 people.”</w:t>
      </w:r>
    </w:p>
    <w:p w14:paraId="0968A6D0" w14:textId="19662067" w:rsidR="004B487C" w:rsidRDefault="00000000">
      <w:pPr>
        <w:spacing w:after="0" w:line="480" w:lineRule="auto"/>
      </w:pPr>
      <w:r>
        <w:t xml:space="preserve">In terms of being ‘travel active,’ time is a resource that needs to be accounted for, and the projected experience will invariably be time-based when it is realized. In other words, when preparing a description for an audience member, one of the first and most important aspects to understand about the listener is how much time they want to put into it. If someone comes to a public place, when passing through town, on the way to somewhere else, and they might have 30 minutes to explore the entire place, they probably are not going to want a 5-minute description of the visitor center sign. On the other hand, if a visitor is making the trip to the place as a day-long </w:t>
      </w:r>
      <w:proofErr w:type="gramStart"/>
      <w:r>
        <w:t>commitment, and</w:t>
      </w:r>
      <w:proofErr w:type="gramEnd"/>
      <w:r>
        <w:t xml:space="preserve"> is fully engaged and interested in learning as much as possible, the more descriptions and the longer the descriptions, the better. </w:t>
      </w:r>
    </w:p>
    <w:p w14:paraId="0ED433B6" w14:textId="77777777" w:rsidR="004B487C" w:rsidRDefault="00000000">
      <w:pPr>
        <w:spacing w:after="0" w:line="480" w:lineRule="auto"/>
        <w:ind w:firstLine="0"/>
      </w:pPr>
      <w:r>
        <w:t xml:space="preserve">During one of our focus groups, for example, a blind male, 66- to 75-years-old, and a </w:t>
      </w:r>
      <w:proofErr w:type="spellStart"/>
      <w:r>
        <w:t>DeafBlind</w:t>
      </w:r>
      <w:proofErr w:type="spellEnd"/>
      <w:r>
        <w:t xml:space="preserve"> female, 36- to 45-years-old, had an exchange about such contextual constraints and how time relates to description quality:</w:t>
      </w:r>
      <w:r>
        <w:br/>
        <w:t>Male: “Describing a picture to me is in no way, shape, or form, anywhere near like seeing it. It's just not.”</w:t>
      </w:r>
    </w:p>
    <w:p w14:paraId="7DD07ECB" w14:textId="77777777" w:rsidR="004B487C" w:rsidRDefault="00000000">
      <w:pPr>
        <w:spacing w:after="0" w:line="480" w:lineRule="auto"/>
        <w:ind w:firstLine="0"/>
      </w:pPr>
      <w:r>
        <w:t>Female: “That's interesting to know, actually.”</w:t>
      </w:r>
    </w:p>
    <w:p w14:paraId="429D1BFF" w14:textId="77777777" w:rsidR="004B487C" w:rsidRDefault="00000000">
      <w:pPr>
        <w:spacing w:after="0" w:line="480" w:lineRule="auto"/>
        <w:ind w:firstLine="0"/>
      </w:pPr>
      <w:r>
        <w:t xml:space="preserve">Male: “It's not. How can it be?” </w:t>
      </w:r>
    </w:p>
    <w:p w14:paraId="2047CED8" w14:textId="77777777" w:rsidR="004B487C" w:rsidRDefault="00000000">
      <w:pPr>
        <w:spacing w:after="0" w:line="480" w:lineRule="auto"/>
        <w:ind w:firstLine="0"/>
      </w:pPr>
      <w:r>
        <w:t>Female: “That actually mystifies me, actually, in a way, like, I mean, if you had like an infinite amount of time, and you could describe every detail, I think you could come pretty close.”</w:t>
      </w:r>
    </w:p>
    <w:p w14:paraId="7DD6F9B3" w14:textId="77777777" w:rsidR="004B487C" w:rsidRDefault="00000000">
      <w:pPr>
        <w:spacing w:after="0" w:line="480" w:lineRule="auto"/>
        <w:ind w:firstLine="0"/>
      </w:pPr>
      <w:r>
        <w:t xml:space="preserve">Male: “But the impact wouldn't be the same. One's more intellectual. The other one's emotional. If you see something that's a beautiful painting, you feel the beauty, you can </w:t>
      </w:r>
      <w:r>
        <w:lastRenderedPageBreak/>
        <w:t>describe it to me, but that's something different.”</w:t>
      </w:r>
    </w:p>
    <w:p w14:paraId="3B3641F0" w14:textId="77777777" w:rsidR="004B487C" w:rsidRDefault="004B487C">
      <w:pPr>
        <w:spacing w:after="0" w:line="480" w:lineRule="auto"/>
      </w:pPr>
    </w:p>
    <w:p w14:paraId="2B8C5C0C" w14:textId="77777777" w:rsidR="004B487C" w:rsidRDefault="00000000">
      <w:pPr>
        <w:spacing w:after="0" w:line="480" w:lineRule="auto"/>
      </w:pPr>
      <w:r>
        <w:t xml:space="preserve">In another focus group, a non-binary </w:t>
      </w:r>
      <w:proofErr w:type="spellStart"/>
      <w:r>
        <w:t>DeafBlind</w:t>
      </w:r>
      <w:proofErr w:type="spellEnd"/>
      <w:r>
        <w:t xml:space="preserve"> participant, 36- to 45-years-old, explicitly linked time elements to a description preference by saying: </w:t>
      </w:r>
    </w:p>
    <w:p w14:paraId="42B3F341" w14:textId="77777777" w:rsidR="004B487C" w:rsidRDefault="00000000">
      <w:pPr>
        <w:spacing w:after="0" w:line="480" w:lineRule="auto"/>
        <w:ind w:left="720" w:firstLine="0"/>
      </w:pPr>
      <w:r>
        <w:t xml:space="preserve">“The thing that impacts the number of descriptions and stuff is how much time do you have to provide this description? If you have it in a still thing, on the wall, you probably are going to have a lot more time to describe something and can go into more detail… There are things that I would like more description of, more detail, like a focus more into the specific aspects, like they didn't describe exactly where something is, the focus of the eyes, or (where) the hands are, or the (tilt of the) head, is the artist's point?” </w:t>
      </w:r>
    </w:p>
    <w:p w14:paraId="0C87D59D" w14:textId="77777777" w:rsidR="004B487C" w:rsidRDefault="00000000">
      <w:pPr>
        <w:spacing w:after="0" w:line="480" w:lineRule="auto"/>
        <w:ind w:firstLine="0"/>
      </w:pPr>
      <w:r>
        <w:t xml:space="preserve">A </w:t>
      </w:r>
      <w:proofErr w:type="spellStart"/>
      <w:r>
        <w:t>DeafBlind</w:t>
      </w:r>
      <w:proofErr w:type="spellEnd"/>
      <w:r>
        <w:t xml:space="preserve"> male, 36- to 45-years-old, interjected:</w:t>
      </w:r>
    </w:p>
    <w:p w14:paraId="521AA912" w14:textId="77777777" w:rsidR="004B487C" w:rsidRDefault="00000000">
      <w:pPr>
        <w:spacing w:after="0" w:line="480" w:lineRule="auto"/>
        <w:ind w:left="720" w:firstLine="0"/>
      </w:pPr>
      <w:r>
        <w:t>“…</w:t>
      </w:r>
      <w:proofErr w:type="gramStart"/>
      <w:r>
        <w:t>And also</w:t>
      </w:r>
      <w:proofErr w:type="gramEnd"/>
      <w:r>
        <w:t xml:space="preserve">, you know, we have to be particularly, when it comes to film, careful about what details are missing, because, like, let's say you don't think the person having blonde hair is relevant. Well, somebody else may find it relevant. And that's, I think the major challenge is, you only have so much time to sit there and describe it, particularly in the films, you know, </w:t>
      </w:r>
      <w:proofErr w:type="gramStart"/>
      <w:r>
        <w:t>You</w:t>
      </w:r>
      <w:proofErr w:type="gramEnd"/>
      <w:r>
        <w:t xml:space="preserve"> can't prolong the film for description.”</w:t>
      </w:r>
    </w:p>
    <w:p w14:paraId="63D50ADA" w14:textId="77777777" w:rsidR="004B487C" w:rsidRDefault="00000000">
      <w:pPr>
        <w:spacing w:after="0" w:line="480" w:lineRule="auto"/>
      </w:pPr>
      <w:r>
        <w:t xml:space="preserve">Sometimes, in these discussions, the time element was linked to other factors as well, such as the moment of delivery. A </w:t>
      </w:r>
      <w:proofErr w:type="spellStart"/>
      <w:r>
        <w:t>DeafBlind</w:t>
      </w:r>
      <w:proofErr w:type="spellEnd"/>
      <w:r>
        <w:t xml:space="preserve"> female, 36- to 45-years-old, for example, commented on the description delivery choices made, and when, during television coverage of an athletic tournament, when describers were available to the audience but so were the regular broadcast commentators, creating friction among her and her fellow listeners:</w:t>
      </w:r>
      <w:r>
        <w:br/>
      </w:r>
      <w:r>
        <w:tab/>
        <w:t>I think a lot of us would say that, you know, the athlete having red hair and wearing</w:t>
      </w:r>
    </w:p>
    <w:p w14:paraId="7F0E3BF0" w14:textId="77777777" w:rsidR="004B487C" w:rsidRDefault="00000000">
      <w:pPr>
        <w:spacing w:after="0" w:line="480" w:lineRule="auto"/>
      </w:pPr>
      <w:r>
        <w:t>this and that, except for maybe figure skating, it's not relevant. And you're just taking</w:t>
      </w:r>
    </w:p>
    <w:p w14:paraId="601E51DC" w14:textId="77777777" w:rsidR="004B487C" w:rsidRDefault="00000000">
      <w:pPr>
        <w:spacing w:after="0" w:line="480" w:lineRule="auto"/>
      </w:pPr>
      <w:r>
        <w:lastRenderedPageBreak/>
        <w:t>up time, and you're talking over the commentator. So please, you know, unless it's</w:t>
      </w:r>
    </w:p>
    <w:p w14:paraId="06373F84" w14:textId="77777777" w:rsidR="004B487C" w:rsidRDefault="00000000">
      <w:pPr>
        <w:spacing w:after="0" w:line="480" w:lineRule="auto"/>
      </w:pPr>
      <w:r>
        <w:t>absolutely relevant, use your breaks wisely. Don't talk over the commentators and</w:t>
      </w:r>
    </w:p>
    <w:p w14:paraId="108C4F39" w14:textId="77777777" w:rsidR="004B487C" w:rsidRDefault="00000000">
      <w:pPr>
        <w:spacing w:after="0" w:line="480" w:lineRule="auto"/>
        <w:ind w:left="720" w:firstLine="0"/>
      </w:pPr>
      <w:r>
        <w:t xml:space="preserve">don't describe every little detail of what a person's wearing. It's just not relevant to these, </w:t>
      </w:r>
      <w:proofErr w:type="gramStart"/>
      <w:r>
        <w:t>all of</w:t>
      </w:r>
      <w:proofErr w:type="gramEnd"/>
      <w:r>
        <w:t xml:space="preserve"> these sports, you know, and I got a lot of pushbacks.</w:t>
      </w:r>
    </w:p>
    <w:p w14:paraId="71C7EDE2" w14:textId="77777777" w:rsidR="004B487C" w:rsidRDefault="00000000">
      <w:pPr>
        <w:spacing w:after="0" w:line="480" w:lineRule="auto"/>
        <w:ind w:firstLine="0"/>
      </w:pPr>
      <w:r>
        <w:t xml:space="preserve">The idea of time being constrained — whether by the live nature of the performance, or moving image, or by, say, the schedule or budget of the describer or audience member — and how to handle such a variable constraint, was at times anticipated by participants. One theme that occurred in the study’s discussions was that of time shifting </w:t>
      </w:r>
      <w:proofErr w:type="gramStart"/>
      <w:r>
        <w:t>through the use of</w:t>
      </w:r>
      <w:proofErr w:type="gramEnd"/>
      <w:r>
        <w:t xml:space="preserve"> supplemental materials that might be consulted before or after a performance, rather than crammed into the middle of it. A </w:t>
      </w:r>
      <w:proofErr w:type="spellStart"/>
      <w:r>
        <w:t>DeafBlind</w:t>
      </w:r>
      <w:proofErr w:type="spellEnd"/>
      <w:r>
        <w:t xml:space="preserve"> male, 36- to 45-years-old, said, as an example:</w:t>
      </w:r>
      <w:r>
        <w:br/>
      </w:r>
      <w:r>
        <w:tab/>
        <w:t xml:space="preserve">So, </w:t>
      </w:r>
      <w:proofErr w:type="gramStart"/>
      <w:r>
        <w:t>I actually, now</w:t>
      </w:r>
      <w:proofErr w:type="gramEnd"/>
      <w:r>
        <w:t xml:space="preserve"> that I'm thinking about it, as like a supplemental file or a</w:t>
      </w:r>
    </w:p>
    <w:p w14:paraId="1DFDEF70" w14:textId="77777777" w:rsidR="004B487C" w:rsidRDefault="00000000">
      <w:pPr>
        <w:spacing w:after="0" w:line="480" w:lineRule="auto"/>
        <w:ind w:left="720" w:firstLine="0"/>
      </w:pPr>
      <w:r>
        <w:t xml:space="preserve">supplemental something, you know in whatever format you guys go with, would be good because I can read that ahead of time and then follow the whatever it is, whether it be a play or a movie or whatever with </w:t>
      </w:r>
      <w:proofErr w:type="gramStart"/>
      <w:r>
        <w:t>all of</w:t>
      </w:r>
      <w:proofErr w:type="gramEnd"/>
      <w:r>
        <w:t xml:space="preserve"> that information ahead of time. If that's what I want to do.</w:t>
      </w:r>
    </w:p>
    <w:p w14:paraId="31D76A97" w14:textId="77777777" w:rsidR="004B487C" w:rsidRDefault="00000000">
      <w:pPr>
        <w:spacing w:after="0" w:line="480" w:lineRule="auto"/>
        <w:ind w:firstLine="0"/>
      </w:pPr>
      <w:r>
        <w:t xml:space="preserve">A blind female, 56- to 65-years-old, suggested that such supplemental material can also be provided live, or in a combination of media. Referencing a recent live performance she attended, she said: </w:t>
      </w:r>
    </w:p>
    <w:p w14:paraId="3020E099" w14:textId="77777777" w:rsidR="004B487C" w:rsidRDefault="00000000">
      <w:pPr>
        <w:spacing w:after="0" w:line="480" w:lineRule="auto"/>
        <w:ind w:left="720" w:firstLine="0"/>
      </w:pPr>
      <w:r>
        <w:t xml:space="preserve">So, if they're not doing it on the fly, and they do a script, so there's a pre-show, and the pre-show basically talks about the play in general, the era, things like that. And then it gives a better picture in my mind when I'm listening to what's going on, like ‘Hamilton.’ It was phenomenal having that </w:t>
      </w:r>
      <w:proofErr w:type="gramStart"/>
      <w:r>
        <w:t>audio-described</w:t>
      </w:r>
      <w:proofErr w:type="gramEnd"/>
      <w:r>
        <w:t xml:space="preserve">. And if anybody's seen it, they pretty much rap the entire time. So there really isn't a whole lot of time to do a lot of audio description. So that show, we had a </w:t>
      </w:r>
      <w:proofErr w:type="gramStart"/>
      <w:r>
        <w:t>really big</w:t>
      </w:r>
      <w:proofErr w:type="gramEnd"/>
      <w:r>
        <w:t xml:space="preserve"> pre-show and then </w:t>
      </w:r>
      <w:r>
        <w:lastRenderedPageBreak/>
        <w:t xml:space="preserve">intermission descriptions. </w:t>
      </w:r>
    </w:p>
    <w:p w14:paraId="78551AD4" w14:textId="77777777" w:rsidR="004B487C" w:rsidRDefault="00000000">
      <w:pPr>
        <w:spacing w:after="0" w:line="480" w:lineRule="auto"/>
      </w:pPr>
      <w:r>
        <w:t>Awareness of time available was also evident in some comments favoring the</w:t>
      </w:r>
    </w:p>
    <w:p w14:paraId="73F341A1" w14:textId="77777777" w:rsidR="004B487C" w:rsidRDefault="00000000">
      <w:pPr>
        <w:spacing w:after="0" w:line="480" w:lineRule="auto"/>
        <w:ind w:firstLine="0"/>
      </w:pPr>
      <w:r>
        <w:t xml:space="preserve">inclusion of description that would not take more than moments but might be beneficial to the listener. A blind male, 46- to 55-years-old, was another participant who suggested that there is potentially helpful technology that exists but that has not yet been applied to AD and related services. He said of the description of paintings, such as portraits, from this perspective: </w:t>
      </w:r>
    </w:p>
    <w:p w14:paraId="5629BF0A" w14:textId="77777777" w:rsidR="004B487C" w:rsidRDefault="00000000">
      <w:pPr>
        <w:spacing w:after="0" w:line="480" w:lineRule="auto"/>
      </w:pPr>
      <w:r>
        <w:t xml:space="preserve">“I think you </w:t>
      </w:r>
      <w:proofErr w:type="gramStart"/>
      <w:r>
        <w:t>have to</w:t>
      </w:r>
      <w:proofErr w:type="gramEnd"/>
      <w:r>
        <w:t xml:space="preserve"> get as detailed as possible. That includes background, but I wish</w:t>
      </w:r>
    </w:p>
    <w:p w14:paraId="1A92BEB9" w14:textId="77777777" w:rsidR="004B487C" w:rsidRDefault="00000000">
      <w:pPr>
        <w:spacing w:after="0" w:line="480" w:lineRule="auto"/>
        <w:ind w:left="720" w:firstLine="0"/>
      </w:pPr>
      <w:r>
        <w:t>we could use some of the technology we have today and have kind of layers of detail because sometimes I just want to hear an overview, and if I'm not interested, I don't want to hear about all the detail, you know?</w:t>
      </w:r>
    </w:p>
    <w:p w14:paraId="0AAB7BC1" w14:textId="77777777" w:rsidR="004B487C" w:rsidRDefault="00000000">
      <w:pPr>
        <w:spacing w:after="0" w:line="480" w:lineRule="auto"/>
        <w:ind w:firstLine="0"/>
        <w:rPr>
          <w:b/>
          <w:bCs/>
        </w:rPr>
      </w:pPr>
      <w:r>
        <w:rPr>
          <w:b/>
          <w:bCs/>
        </w:rPr>
        <w:t>Delivery Methods Matter</w:t>
      </w:r>
    </w:p>
    <w:p w14:paraId="6FB74598" w14:textId="77777777" w:rsidR="004B487C" w:rsidRDefault="00000000">
      <w:pPr>
        <w:spacing w:after="0" w:line="480" w:lineRule="auto"/>
        <w:ind w:firstLine="0"/>
      </w:pPr>
      <w:r>
        <w:t xml:space="preserve">Participants also repeatedly recognized in </w:t>
      </w:r>
      <w:proofErr w:type="spellStart"/>
      <w:r>
        <w:t>hypermediate</w:t>
      </w:r>
      <w:proofErr w:type="spellEnd"/>
      <w:r>
        <w:t xml:space="preserve"> ways how a describer’s predefined role and the delivery tools and methods might strongly influence what that person did or did not say in a description. For example, many support service providers are trained not to interpret what they describe at all, even if the interpretation seems a safe one, but instead to just describe it plainly. What isn’t said, from that perspective, could be just as important as what is said. Some audiences for AD know about this type of training and therefore are left to read between the lines, as a blind female, 56- to 65-years-old, for example, said: </w:t>
      </w:r>
      <w:r>
        <w:br/>
      </w:r>
      <w:r>
        <w:tab/>
        <w:t>It can be hard because, as an audio describer, you want to say what you see, not</w:t>
      </w:r>
    </w:p>
    <w:p w14:paraId="64F5D80B" w14:textId="77777777" w:rsidR="004B487C" w:rsidRDefault="00000000">
      <w:pPr>
        <w:spacing w:after="0" w:line="480" w:lineRule="auto"/>
        <w:ind w:left="720" w:firstLine="0"/>
      </w:pPr>
      <w:r>
        <w:t>interpret the paintings, and I know that can be difficult … As an audio describer, you really are taught to say what you see and</w:t>
      </w:r>
    </w:p>
    <w:p w14:paraId="466E198E" w14:textId="7DF5D0C1" w:rsidR="004B487C" w:rsidRDefault="00000000">
      <w:pPr>
        <w:spacing w:after="0" w:line="480" w:lineRule="auto"/>
        <w:ind w:left="720" w:firstLine="0"/>
      </w:pPr>
      <w:r>
        <w:t>try not to do the interpretations and all of that.</w:t>
      </w:r>
      <w:r w:rsidR="00833A20">
        <w:br/>
      </w:r>
    </w:p>
    <w:p w14:paraId="08D72439" w14:textId="77777777" w:rsidR="004B487C" w:rsidRDefault="00000000">
      <w:pPr>
        <w:spacing w:after="0" w:line="480" w:lineRule="auto"/>
        <w:ind w:firstLine="0"/>
      </w:pPr>
      <w:r>
        <w:lastRenderedPageBreak/>
        <w:t xml:space="preserve">Along those lines, a </w:t>
      </w:r>
      <w:proofErr w:type="spellStart"/>
      <w:r>
        <w:t>DeafBlind</w:t>
      </w:r>
      <w:proofErr w:type="spellEnd"/>
      <w:r>
        <w:t xml:space="preserve"> female, 56- to 65-years-old, added: </w:t>
      </w:r>
      <w:r>
        <w:br/>
      </w:r>
      <w:r>
        <w:tab/>
        <w:t xml:space="preserve">Even when we train support service providers, they can't even say,  </w:t>
      </w:r>
    </w:p>
    <w:p w14:paraId="409544B2" w14:textId="77777777" w:rsidR="004B487C" w:rsidRDefault="00000000">
      <w:pPr>
        <w:spacing w:after="0" w:line="480" w:lineRule="auto"/>
        <w:ind w:left="720" w:firstLine="0"/>
      </w:pPr>
      <w:r>
        <w:t>‘You know, Ryan looks really mad because his face is red…’ And so, she's there for me to make up my own mind. And for me to decide if I want to go hug somebody, or if I want to go, ‘I'm sorry, but I noticed you were wiping your face. Are you okay?’ You know, for me to interact.</w:t>
      </w:r>
    </w:p>
    <w:p w14:paraId="39793E07" w14:textId="77777777" w:rsidR="004B487C" w:rsidRDefault="00000000">
      <w:pPr>
        <w:spacing w:after="0" w:line="480" w:lineRule="auto"/>
        <w:ind w:firstLine="0"/>
      </w:pPr>
      <w:r>
        <w:t xml:space="preserve">A </w:t>
      </w:r>
      <w:proofErr w:type="spellStart"/>
      <w:r>
        <w:t>DeafBlind</w:t>
      </w:r>
      <w:proofErr w:type="spellEnd"/>
      <w:r>
        <w:t xml:space="preserve"> female, 56- to 65-years-old, also talked about situations in which a describer uses the same script for a mix of listeners who are blind congenitally (from birth, or soon after birth) and adventitiously (with sight loss coming later in life). The woman then said: “If you've been able to see before, to me, that will also make a big difference, but there's no way that the narrator or the describer is going to know, you know, who's had vision and who hasn't.” She added that the inclusion or exclusion of color words is a common point of divergence in those audiences, for example, as congenitally blind participants tend to care less about colors, and adventitiously blind people, who lost sight later in life but still remember colors, tend to want to hear more about the colors.</w:t>
      </w:r>
    </w:p>
    <w:p w14:paraId="7B4D5274" w14:textId="77777777" w:rsidR="004B487C" w:rsidRDefault="00000000">
      <w:pPr>
        <w:spacing w:after="0" w:line="480" w:lineRule="auto"/>
      </w:pPr>
      <w:r>
        <w:t xml:space="preserve">Not only do people have to make tough decisions about what to include and what not to include in the descriptions, but assistive technology does as well, with many examples raised in our study about the choices being made, as well as the limits of existing software and hardware to fully satisfy the audiences. A non-binary </w:t>
      </w:r>
      <w:proofErr w:type="spellStart"/>
      <w:r>
        <w:t>DeafBlind</w:t>
      </w:r>
      <w:proofErr w:type="spellEnd"/>
      <w:r>
        <w:t xml:space="preserve"> participant, 36- to 45-years-old, for example, said: “Apple accessibility features does not do a good job in describing people, animals, </w:t>
      </w:r>
      <w:proofErr w:type="gramStart"/>
      <w:r>
        <w:t>and  middle</w:t>
      </w:r>
      <w:proofErr w:type="gramEnd"/>
      <w:r>
        <w:t xml:space="preserve"> of pictures.” A </w:t>
      </w:r>
      <w:proofErr w:type="spellStart"/>
      <w:r>
        <w:t>DeafBlind</w:t>
      </w:r>
      <w:proofErr w:type="spellEnd"/>
      <w:r>
        <w:t xml:space="preserve"> male, 36- to 45-years-old, quickly added that AD was not ready to be outsourced fully to computers: “AI,” he said, “it's just not there yet. So please don't go down that road.”</w:t>
      </w:r>
    </w:p>
    <w:p w14:paraId="60612A05" w14:textId="77777777" w:rsidR="004B487C" w:rsidRDefault="00000000">
      <w:pPr>
        <w:spacing w:after="0" w:line="480" w:lineRule="auto"/>
        <w:ind w:firstLine="0"/>
      </w:pPr>
      <w:r>
        <w:t xml:space="preserve">Some participants spoke about linguistic features of AD, compared to the use of other </w:t>
      </w:r>
      <w:r>
        <w:lastRenderedPageBreak/>
        <w:t xml:space="preserve">languages, as possible limitations. A non-binary </w:t>
      </w:r>
      <w:proofErr w:type="spellStart"/>
      <w:r>
        <w:t>DeafBlind</w:t>
      </w:r>
      <w:proofErr w:type="spellEnd"/>
      <w:r>
        <w:t xml:space="preserve"> participant, 36- to 45-years-old, said, for example:</w:t>
      </w:r>
      <w:r>
        <w:br/>
      </w:r>
      <w:r>
        <w:tab/>
        <w:t>You can describe things in ASL more easily than you can in English in many ways.</w:t>
      </w:r>
    </w:p>
    <w:p w14:paraId="0A95E1A7" w14:textId="77777777" w:rsidR="004B487C" w:rsidRDefault="00000000">
      <w:pPr>
        <w:spacing w:after="0" w:line="480" w:lineRule="auto"/>
      </w:pPr>
      <w:r>
        <w:t>It's more direct. You don't do English from English verbal descriptions to ASL. It</w:t>
      </w:r>
    </w:p>
    <w:p w14:paraId="32FE835C" w14:textId="77777777" w:rsidR="004B487C" w:rsidRDefault="00000000">
      <w:pPr>
        <w:spacing w:after="0" w:line="480" w:lineRule="auto"/>
        <w:ind w:left="720" w:firstLine="0"/>
      </w:pPr>
      <w:r>
        <w:t>should not be done. It should be done directly from the visual.</w:t>
      </w:r>
    </w:p>
    <w:p w14:paraId="69022308" w14:textId="77777777" w:rsidR="004B487C" w:rsidRDefault="00000000">
      <w:pPr>
        <w:spacing w:after="0" w:line="480" w:lineRule="auto"/>
        <w:ind w:firstLine="0"/>
      </w:pPr>
      <w:r>
        <w:t xml:space="preserve">A </w:t>
      </w:r>
      <w:proofErr w:type="spellStart"/>
      <w:r>
        <w:t>DeafBlind</w:t>
      </w:r>
      <w:proofErr w:type="spellEnd"/>
      <w:r>
        <w:t xml:space="preserve"> male, 46- to 55-years-old, added, “With English words, we don't really have a lot of words for feelings of things. But when you're doing a pro-tactile, you can do those things.”</w:t>
      </w:r>
    </w:p>
    <w:p w14:paraId="1206D61B" w14:textId="77777777" w:rsidR="004B487C" w:rsidRDefault="00000000">
      <w:pPr>
        <w:spacing w:after="0" w:line="480" w:lineRule="auto"/>
        <w:rPr>
          <w:b/>
          <w:bCs/>
        </w:rPr>
      </w:pPr>
      <w:r>
        <w:t xml:space="preserve">Another delivery-related complication in the appreciation of AD comes from friends and family members, who want to ensure that their loved one is getting what is needed and having a good time, but not to get a disruptive experience themselves. A blind male, 66- to 75-years-old, for example, said that his wife's enjoyment of a movie used to be marred by her concern that he wasn’t following the movie, but that “now that I can hear the dialogue and the description. She enjoys her time far more.”  Some other delivery-related constraints were suggested by a </w:t>
      </w:r>
      <w:proofErr w:type="spellStart"/>
      <w:r>
        <w:t>DeafBlind</w:t>
      </w:r>
      <w:proofErr w:type="spellEnd"/>
      <w:r>
        <w:t xml:space="preserve"> non-binary participant who is 36- to 45-years-old. They expressed the challenges of describers having a strong accent; using idioms peculiar to their version of English, and of how even the aspect of their body could determine </w:t>
      </w:r>
      <w:proofErr w:type="gramStart"/>
      <w:r>
        <w:t>whether or not</w:t>
      </w:r>
      <w:proofErr w:type="gramEnd"/>
      <w:r>
        <w:t xml:space="preserve"> they could pick up on a sound in the environment at hand, i.e., “if someone's listening to a bird. Is their head tilted toward the sound?”</w:t>
      </w:r>
      <w:r>
        <w:rPr>
          <w:b/>
          <w:bCs/>
          <w:i/>
          <w:iCs/>
        </w:rPr>
        <w:br/>
      </w:r>
      <w:r>
        <w:rPr>
          <w:b/>
          <w:bCs/>
        </w:rPr>
        <w:t xml:space="preserve">Subject Matter Expertise </w:t>
      </w:r>
    </w:p>
    <w:p w14:paraId="2B508860" w14:textId="77777777" w:rsidR="004B487C" w:rsidRDefault="00000000">
      <w:pPr>
        <w:spacing w:after="0" w:line="480" w:lineRule="auto"/>
      </w:pPr>
      <w:r>
        <w:t xml:space="preserve">Another description-adjacent concern recurring in our dataset was the level of relevant knowledge or formal education of the describer on the topic being described, and, reciprocally, the level of subject matter expertise of the listener. This is a complex dynamic that deserves far greater attention and detail, but just generally speaking, our discussions </w:t>
      </w:r>
      <w:r>
        <w:lastRenderedPageBreak/>
        <w:t xml:space="preserve">indicated that a listener with more subject matter expertise might want to know more detailed and technical information from a description, while a listener with less subject matter expertise might be content with, or even prefer, less technical and detailed descriptions, </w:t>
      </w:r>
      <w:proofErr w:type="gramStart"/>
      <w:r>
        <w:t>as a way to</w:t>
      </w:r>
      <w:proofErr w:type="gramEnd"/>
      <w:r>
        <w:t xml:space="preserve"> get to know the subject more gradually. A </w:t>
      </w:r>
      <w:proofErr w:type="spellStart"/>
      <w:r>
        <w:t>DeafBlind</w:t>
      </w:r>
      <w:proofErr w:type="spellEnd"/>
      <w:r>
        <w:t xml:space="preserve"> female, 56- to 65-years-old, for example, said that before she completed a master’s degree course on the topic, she felt ignorant about many physical and clothing characteristics that could otherwise have been informative about a given individual’s ethnicity or culture:</w:t>
      </w:r>
      <w:r>
        <w:br/>
      </w:r>
      <w:r>
        <w:tab/>
        <w:t xml:space="preserve">I think it's education and knowledge, and that's what I really like about it. </w:t>
      </w:r>
      <w:proofErr w:type="gramStart"/>
      <w:r>
        <w:t>And,</w:t>
      </w:r>
      <w:proofErr w:type="gramEnd"/>
      <w:r>
        <w:t xml:space="preserve"> you</w:t>
      </w:r>
    </w:p>
    <w:p w14:paraId="4B8C980D" w14:textId="77777777" w:rsidR="004B487C" w:rsidRDefault="00000000">
      <w:pPr>
        <w:spacing w:after="0" w:line="480" w:lineRule="auto"/>
        <w:ind w:left="720" w:firstLine="0"/>
      </w:pPr>
      <w:r>
        <w:t xml:space="preserve">know, all I ask my support service provider is that we go out, and if we're, uh, I don't know, doing a presentation and whatever, and, and I'll just say, you know, how many blacks, how many whites, or you know, uh, whatever. She did kind of describe again, but a couple of dark-skinned a couple of them have, you know, the scarves on their head, and she just describes what she sees. </w:t>
      </w:r>
    </w:p>
    <w:p w14:paraId="6BB20802" w14:textId="77777777" w:rsidR="004B487C" w:rsidRDefault="00000000">
      <w:pPr>
        <w:spacing w:after="0" w:line="480" w:lineRule="auto"/>
        <w:ind w:firstLine="0"/>
      </w:pPr>
      <w:r>
        <w:t xml:space="preserve">A </w:t>
      </w:r>
      <w:proofErr w:type="spellStart"/>
      <w:r>
        <w:t>DeafBlind</w:t>
      </w:r>
      <w:proofErr w:type="spellEnd"/>
      <w:r>
        <w:t xml:space="preserve"> female, 56- to 65-years-old, added: </w:t>
      </w:r>
      <w:r>
        <w:br/>
      </w:r>
      <w:r>
        <w:tab/>
        <w:t>One of my coworkers black, and we were like joined at the hips, and what we did, and</w:t>
      </w:r>
    </w:p>
    <w:p w14:paraId="27EA140A" w14:textId="77777777" w:rsidR="004B487C" w:rsidRDefault="00000000">
      <w:pPr>
        <w:spacing w:after="0" w:line="480" w:lineRule="auto"/>
        <w:ind w:left="720" w:firstLine="0"/>
      </w:pPr>
      <w:r>
        <w:t xml:space="preserve">she was black. And I got to really do a lot of </w:t>
      </w:r>
      <w:proofErr w:type="gramStart"/>
      <w:r>
        <w:t>really good</w:t>
      </w:r>
      <w:proofErr w:type="gramEnd"/>
      <w:r>
        <w:t xml:space="preserve"> talk with her, educating me. I didn't even know there was a different section in the store for, um, black, different hair.</w:t>
      </w:r>
    </w:p>
    <w:p w14:paraId="5A0F78E8" w14:textId="77777777" w:rsidR="004B487C" w:rsidRDefault="00000000">
      <w:pPr>
        <w:spacing w:after="0" w:line="480" w:lineRule="auto"/>
        <w:ind w:firstLine="0"/>
      </w:pPr>
      <w:r>
        <w:t xml:space="preserve">Those comments raised the idea that it might not even just be subject matter expertise at play in these situations, but also observational skills, cultural competencies, or cultural sensitivities that are lacking, or describers might have a hesitation to label people through descriptions that assign such identity cues as race, gender, and age. An adventitiously blind male, 46- to 55-years-old, said of describers whose work he’d experienced: “It’s almost like they’re terrified to say ‘Hey, this is a white person doing this,’ or ‘This is a black person </w:t>
      </w:r>
      <w:r>
        <w:lastRenderedPageBreak/>
        <w:t xml:space="preserve">doing this.’”      </w:t>
      </w:r>
    </w:p>
    <w:p w14:paraId="1E9E3BBE" w14:textId="77777777" w:rsidR="004B487C" w:rsidRDefault="00000000">
      <w:pPr>
        <w:spacing w:after="0" w:line="480" w:lineRule="auto"/>
      </w:pPr>
      <w:proofErr w:type="gramStart"/>
      <w:r>
        <w:t>Similar to</w:t>
      </w:r>
      <w:proofErr w:type="gramEnd"/>
      <w:r>
        <w:t xml:space="preserve"> race or ethnicity labeling, difficulties arose around describing disabilities as well. For example, a </w:t>
      </w:r>
      <w:proofErr w:type="spellStart"/>
      <w:r>
        <w:t>DeafBlind</w:t>
      </w:r>
      <w:proofErr w:type="spellEnd"/>
      <w:r>
        <w:t xml:space="preserve"> male, 46- to 55-years-old, said, “Some disabilities are not noticeable, but if you're blind, you know, people say, oh, he's blind. You know, he’s got a cane every day.” But a </w:t>
      </w:r>
      <w:proofErr w:type="spellStart"/>
      <w:r>
        <w:t>DeafBlind</w:t>
      </w:r>
      <w:proofErr w:type="spellEnd"/>
      <w:r>
        <w:t xml:space="preserve"> female, 56- to 65-years-old, responded, </w:t>
      </w:r>
      <w:proofErr w:type="gramStart"/>
      <w:r>
        <w:t>“ I</w:t>
      </w:r>
      <w:proofErr w:type="gramEnd"/>
      <w:r>
        <w:t xml:space="preserve"> like to know as much as possible, but if nothing is visible, then there's nothing to describe. Unless something becomes visible, then that's the only time that it can be described.” Sometimes what seems to be lacking is not a sensible quality but an accurate explanation for such a quality or behavior, she said, adding: </w:t>
      </w:r>
    </w:p>
    <w:p w14:paraId="3766AB3C" w14:textId="77777777" w:rsidR="004B487C" w:rsidRDefault="00000000">
      <w:pPr>
        <w:spacing w:after="0" w:line="480" w:lineRule="auto"/>
        <w:ind w:left="720" w:firstLine="0"/>
      </w:pPr>
      <w:r>
        <w:t xml:space="preserve">I did a presentation yesterday for a group of 130 high school students. And one of the students had a syndrome. </w:t>
      </w:r>
      <w:proofErr w:type="gramStart"/>
      <w:r>
        <w:t>So</w:t>
      </w:r>
      <w:proofErr w:type="gramEnd"/>
      <w:r>
        <w:t xml:space="preserve"> I was very glad that the teacher had told me that earlier, because different sounds or, um, things can be said or done (out of) their control. Well, with me not being able to see or to hear very well, I was very glad that the teacher mentioned that. So that way I was aware that if I did hear anything, which I did, that I already was informed, and that was from the teacher who knew it.</w:t>
      </w:r>
    </w:p>
    <w:p w14:paraId="78C3F403" w14:textId="77777777" w:rsidR="004B487C" w:rsidRDefault="00000000">
      <w:pPr>
        <w:spacing w:after="0" w:line="480" w:lineRule="auto"/>
      </w:pPr>
      <w:r>
        <w:t>Inclusion or exclusion of other types of details can be similarly tricky for describers to decide whether to use. A blind female, 46- to 55-years-old, for example, talked about a describer’s wider engagement in terms of proactively asking (or not asking) questions about the object of the description:</w:t>
      </w:r>
    </w:p>
    <w:p w14:paraId="1075016B" w14:textId="77777777" w:rsidR="004B487C" w:rsidRDefault="00000000">
      <w:pPr>
        <w:spacing w:after="0" w:line="480" w:lineRule="auto"/>
        <w:ind w:left="720" w:firstLine="0"/>
      </w:pPr>
      <w:r>
        <w:t>And I just remember years back, we were watching a show. It was a cop show, and they were always making these derogatory remarks to this one cop. After about three episodes, I finally said to someone, well, (why</w:t>
      </w:r>
      <w:proofErr w:type="gramStart"/>
      <w:r>
        <w:t>?)...</w:t>
      </w:r>
      <w:proofErr w:type="gramEnd"/>
      <w:r>
        <w:t>They said, ‘Oh, he's Native, and that's why those criminals are always being rotten,’ and I said, ‘Oh, well, I didn't know that.’ Now I get why they were so tough to this guy.</w:t>
      </w:r>
    </w:p>
    <w:p w14:paraId="73C40FC1" w14:textId="77777777" w:rsidR="004B487C" w:rsidRDefault="00000000">
      <w:pPr>
        <w:spacing w:after="0" w:line="480" w:lineRule="auto"/>
        <w:ind w:firstLine="0"/>
        <w:jc w:val="center"/>
        <w:rPr>
          <w:b/>
          <w:bCs/>
        </w:rPr>
      </w:pPr>
      <w:r>
        <w:rPr>
          <w:b/>
          <w:bCs/>
        </w:rPr>
        <w:lastRenderedPageBreak/>
        <w:t xml:space="preserve">Discussion </w:t>
      </w:r>
    </w:p>
    <w:p w14:paraId="439D4D8F" w14:textId="77777777" w:rsidR="004B487C" w:rsidRDefault="00000000">
      <w:pPr>
        <w:spacing w:after="0" w:line="480" w:lineRule="auto"/>
      </w:pPr>
      <w:r>
        <w:t xml:space="preserve">The original aim of this research project was to examine preferred characteristics of AD in various contexts and specifically </w:t>
      </w:r>
      <w:proofErr w:type="gramStart"/>
      <w:r>
        <w:t>with regard to</w:t>
      </w:r>
      <w:proofErr w:type="gramEnd"/>
      <w:r>
        <w:t xml:space="preserve"> markers of identity, such as race and ethnicity, disability, gender, and age. What emerged from those discussions, though, was broader, leading to the argument of the current paper. Participants revealed opinions and insights into barriers and constraints of AD more generally, hearkening back to comments we have heard for the past decade in other studies as well. This time, though, we are not parsing those broader findings into an outlier pile. Our participants expressed that the greater context of AD should not be ignored. It should be studied further, and our hope is that this paper provides an entry point for further expansion of the academic area. </w:t>
      </w:r>
    </w:p>
    <w:p w14:paraId="04B536C0" w14:textId="77777777" w:rsidR="004B487C" w:rsidRDefault="00000000">
      <w:pPr>
        <w:spacing w:after="0" w:line="480" w:lineRule="auto"/>
      </w:pPr>
      <w:r>
        <w:t>From these findings, a clearly important aspect of AD reception — that is rarely a focus of a study — is the larger personal and professional contexts. This scholarly leap is akin to those conducting an experiment in a lab and then projecting that the same study will also work out the same in the field. It might. But it might not, and the only way to tell for sure is to do the field research. We therefore hypothesize that descriptions will change in the minds of the listeners in the wilds of the activity and in the experiences at a public attraction in ways that are worthy of further consideration, beyond just studying the words conveyed to the listener in a vacuum.</w:t>
      </w:r>
    </w:p>
    <w:p w14:paraId="37022863" w14:textId="77777777" w:rsidR="004B487C" w:rsidRDefault="00000000">
      <w:pPr>
        <w:spacing w:after="0" w:line="480" w:lineRule="auto"/>
      </w:pPr>
      <w:r>
        <w:t xml:space="preserve">Such data is perhaps more than participants merely demonstrating that they are pragmatic and considerate. Their declarations can be seen as ventures into what their primary and raw experience of, say, an artwork might provisionally be, in the moment. Each description choice will shape that moment. A rough equivalent might be that of a sighted person who states a preference for gallery lighting conditions and wall colors before that person even knows what works will be on display; in doing so, the person is staking a claim </w:t>
      </w:r>
      <w:r>
        <w:lastRenderedPageBreak/>
        <w:t xml:space="preserve">on a likely experience, not responding to a specific experience. And what that person might like in general just might not fit the moment. Or it might. This complex dynamic is one of the reasons why voluntary comments about descriptions focusing on aspects aside from the words chosen are significant. Extrinsic nuances can shape and color the description and its relationships to the subject matter being described. </w:t>
      </w:r>
    </w:p>
    <w:p w14:paraId="68D42020" w14:textId="77777777" w:rsidR="004B487C" w:rsidRDefault="00000000">
      <w:pPr>
        <w:spacing w:after="0" w:line="480" w:lineRule="auto"/>
      </w:pPr>
      <w:r>
        <w:t xml:space="preserve">This point serves as a cautionary tale about tunnel vision in research or unexamined sight-centered views of the data. A </w:t>
      </w:r>
      <w:proofErr w:type="spellStart"/>
      <w:r>
        <w:t>DeafBlind</w:t>
      </w:r>
      <w:proofErr w:type="spellEnd"/>
      <w:r>
        <w:t xml:space="preserve"> female, 36- to 45-years-old, in our study, contended that sighted individuals “don't see, like, it's so strange to me that they miss stuff,” raising an edifying probability. It is a reminder to researchers that too much focus on legal or epistemological ideals of a “complete” description might presume too much about the comprehensiveness of a describer’s perceptions. That there might be holes in, for example, their vigilance, viewing angle, or subject matter expertise. Listeners can be fickle, too, like anyone, and might not know exactly what they want and when, until they get it.</w:t>
      </w:r>
    </w:p>
    <w:p w14:paraId="2CE15460" w14:textId="77777777" w:rsidR="004B487C" w:rsidRDefault="00000000">
      <w:pPr>
        <w:spacing w:after="0" w:line="480" w:lineRule="auto"/>
      </w:pPr>
      <w:r>
        <w:t xml:space="preserve">The findings also suggest emergent opportunities for technology professionals and for more adaptable, technologically nimble forms of AD. For instance, there were multiple mentions in our focus groups of the potential in materials that supplement AD and that might enhance it and make it more responsive to the in-situ needs of the listener. The trajectory of Generative AI raises hopes of a future system of descriptions that caters to the individual listener, based on experiences that have been registered in previous experiences, cataloged, and sorted by audience reception metrics. In preparation for such a socio-technological support system, this research aims to cast a critical gaze at a much larger contextual web of potential causes that both complicate understandings about AD but also help to make responses to it more comprehensible. The power of AD as a mass medium is affected by a broader context, over time, from initial interest in an AD experience to the memory-building </w:t>
      </w:r>
      <w:r>
        <w:lastRenderedPageBreak/>
        <w:t xml:space="preserve">process that happens afterward. AD researchers, including those focused on audience-reception issues, could benefit from taking a wider view, which includes such context. Words are important and worthy of intense study in AD, but they do not work in a vacuum, and AD research would benefit from more attention being paid to those external forces, too. </w:t>
      </w:r>
    </w:p>
    <w:p w14:paraId="5B6EBE2A" w14:textId="77777777" w:rsidR="004B487C" w:rsidRDefault="00000000">
      <w:pPr>
        <w:spacing w:after="0" w:line="480" w:lineRule="auto"/>
      </w:pPr>
      <w:r>
        <w:br w:type="page"/>
      </w:r>
    </w:p>
    <w:p w14:paraId="4282428D" w14:textId="77777777" w:rsidR="004B487C" w:rsidRDefault="00000000">
      <w:pPr>
        <w:spacing w:after="0" w:line="480" w:lineRule="auto"/>
        <w:ind w:firstLine="0"/>
        <w:jc w:val="center"/>
        <w:rPr>
          <w:b/>
          <w:bCs/>
        </w:rPr>
      </w:pPr>
      <w:r>
        <w:rPr>
          <w:b/>
          <w:bCs/>
        </w:rPr>
        <w:lastRenderedPageBreak/>
        <w:t>References</w:t>
      </w:r>
    </w:p>
    <w:p w14:paraId="1A3FE747" w14:textId="77777777" w:rsidR="004B487C" w:rsidRDefault="00000000">
      <w:pPr>
        <w:spacing w:after="0" w:line="480" w:lineRule="auto"/>
        <w:ind w:left="720" w:hanging="720"/>
      </w:pPr>
      <w:r>
        <w:t>The Centers for Disease Control and Prevention. (2025). Fast Facts of Common Eye Disorders. </w:t>
      </w:r>
      <w:hyperlink r:id="rId44">
        <w:r>
          <w:rPr>
            <w:color w:val="0000FF"/>
            <w:u w:val="single"/>
          </w:rPr>
          <w:t>https://www.cdc.gov/visionhealth/basics/ced/fastfacts.htm</w:t>
        </w:r>
      </w:hyperlink>
    </w:p>
    <w:p w14:paraId="20985048" w14:textId="77777777" w:rsidR="004B487C" w:rsidRDefault="00000000">
      <w:pPr>
        <w:spacing w:after="0" w:line="480" w:lineRule="auto"/>
        <w:ind w:left="720" w:hanging="720"/>
      </w:pPr>
      <w:r>
        <w:t xml:space="preserve">Conway, M., </w:t>
      </w:r>
      <w:proofErr w:type="spellStart"/>
      <w:r>
        <w:t>Oppegaard</w:t>
      </w:r>
      <w:proofErr w:type="spellEnd"/>
      <w:r>
        <w:t xml:space="preserve">, B., Bullen, M., Miguel, A., &amp; Brown-Ogilvie, T. (2023). </w:t>
      </w:r>
      <w:r>
        <w:rPr>
          <w:i/>
          <w:iCs/>
        </w:rPr>
        <w:t xml:space="preserve">Describing people and portraits through audio description: Preferences of people who are blind, low vision, and </w:t>
      </w:r>
      <w:proofErr w:type="spellStart"/>
      <w:r>
        <w:rPr>
          <w:i/>
          <w:iCs/>
        </w:rPr>
        <w:t>DeafBlind</w:t>
      </w:r>
      <w:proofErr w:type="spellEnd"/>
      <w:r>
        <w:t xml:space="preserve">. Helen Keller Services for the Blind. </w:t>
      </w:r>
      <w:hyperlink r:id="rId45">
        <w:r>
          <w:rPr>
            <w:color w:val="0000FF"/>
            <w:u w:val="single"/>
          </w:rPr>
          <w:t>https://www.helenkeller.org/audio-describing-people-and-portraits-2022/</w:t>
        </w:r>
      </w:hyperlink>
    </w:p>
    <w:p w14:paraId="0E4CAA8F" w14:textId="77777777" w:rsidR="004B487C" w:rsidRDefault="00000000">
      <w:pPr>
        <w:spacing w:after="0" w:line="480" w:lineRule="auto"/>
        <w:ind w:left="720" w:hanging="720"/>
      </w:pPr>
      <w:r>
        <w:t xml:space="preserve">Fresno, N., </w:t>
      </w:r>
      <w:proofErr w:type="spellStart"/>
      <w:r>
        <w:t>Castellà</w:t>
      </w:r>
      <w:proofErr w:type="spellEnd"/>
      <w:r>
        <w:t xml:space="preserve"> Mate, J., &amp; Soler </w:t>
      </w:r>
      <w:proofErr w:type="spellStart"/>
      <w:r>
        <w:t>Vilageliu</w:t>
      </w:r>
      <w:proofErr w:type="spellEnd"/>
      <w:r>
        <w:t xml:space="preserve">, O. (2014). Less is more: Effects of the amount of information and its presentation in the recall and reception of audio-described characters. </w:t>
      </w:r>
      <w:r>
        <w:rPr>
          <w:i/>
          <w:iCs/>
        </w:rPr>
        <w:t>International Journal of Sciences: Basic and Applied Research, 14</w:t>
      </w:r>
      <w:r>
        <w:t>, 169–196.</w:t>
      </w:r>
    </w:p>
    <w:p w14:paraId="2E37DF9B" w14:textId="77777777" w:rsidR="004B487C" w:rsidRDefault="00000000">
      <w:pPr>
        <w:spacing w:after="0" w:line="480" w:lineRule="auto"/>
        <w:ind w:left="720" w:hanging="720"/>
      </w:pPr>
      <w:r>
        <w:t xml:space="preserve">Fryer, L. (2016). </w:t>
      </w:r>
      <w:r>
        <w:rPr>
          <w:i/>
          <w:iCs/>
        </w:rPr>
        <w:t>An introduction to audio description: A practical guide</w:t>
      </w:r>
      <w:r>
        <w:t>. Routledge.</w:t>
      </w:r>
    </w:p>
    <w:p w14:paraId="308A04DE" w14:textId="77777777" w:rsidR="004B487C" w:rsidRDefault="00000000">
      <w:pPr>
        <w:spacing w:after="0" w:line="480" w:lineRule="auto"/>
        <w:ind w:left="720" w:hanging="720"/>
      </w:pPr>
      <w:r>
        <w:t xml:space="preserve">Hartley, M., &amp; </w:t>
      </w:r>
      <w:proofErr w:type="spellStart"/>
      <w:r>
        <w:t>Oppegaard</w:t>
      </w:r>
      <w:proofErr w:type="spellEnd"/>
      <w:r>
        <w:t xml:space="preserve">, B. (2024). Collaboration, Friendly Competition, and Co-Creation: A Hackathon-Inspired Way of Audio Describing the World, One National Park Service Brochure at A Time. </w:t>
      </w:r>
      <w:r>
        <w:rPr>
          <w:i/>
          <w:iCs/>
        </w:rPr>
        <w:t xml:space="preserve">Heritage in Action, </w:t>
      </w:r>
      <w:r>
        <w:t>UNESCO-WHIPIC</w:t>
      </w:r>
      <w:r>
        <w:rPr>
          <w:i/>
          <w:iCs/>
        </w:rPr>
        <w:t xml:space="preserve">. </w:t>
      </w:r>
      <w:r>
        <w:t>https://unesco-whipic.org/reports/</w:t>
      </w:r>
    </w:p>
    <w:p w14:paraId="39E97E08" w14:textId="77777777" w:rsidR="004B487C" w:rsidRDefault="00000000">
      <w:pPr>
        <w:spacing w:after="0" w:line="480" w:lineRule="auto"/>
        <w:ind w:left="720" w:hanging="720"/>
      </w:pPr>
      <w:r>
        <w:t xml:space="preserve">Koirala, S., &amp; </w:t>
      </w:r>
      <w:proofErr w:type="spellStart"/>
      <w:r>
        <w:t>Oppegaard</w:t>
      </w:r>
      <w:proofErr w:type="spellEnd"/>
      <w:r>
        <w:t xml:space="preserve">, B. (2022). The light bulb went on: A historiography-based approach to disentangling audio description’s influential U.S. roots from its common practices. </w:t>
      </w:r>
      <w:r>
        <w:rPr>
          <w:i/>
          <w:iCs/>
        </w:rPr>
        <w:t>Journal of Visual Impairment &amp; Blindness, 116</w:t>
      </w:r>
      <w:r>
        <w:t xml:space="preserve">(4), 1–12. </w:t>
      </w:r>
      <w:hyperlink r:id="rId46">
        <w:r>
          <w:rPr>
            <w:color w:val="0000FF"/>
            <w:u w:val="single"/>
          </w:rPr>
          <w:t>https://doi.org/10.1177/0145482X221116903</w:t>
        </w:r>
      </w:hyperlink>
    </w:p>
    <w:p w14:paraId="4D94DA63" w14:textId="77777777" w:rsidR="004B487C" w:rsidRDefault="00000000">
      <w:pPr>
        <w:spacing w:after="0" w:line="480" w:lineRule="auto"/>
        <w:ind w:left="720" w:hanging="720"/>
      </w:pPr>
      <w:proofErr w:type="spellStart"/>
      <w:r>
        <w:t>Maszerowska</w:t>
      </w:r>
      <w:proofErr w:type="spellEnd"/>
      <w:r>
        <w:t xml:space="preserve">, A., </w:t>
      </w:r>
      <w:proofErr w:type="spellStart"/>
      <w:r>
        <w:t>Matamala</w:t>
      </w:r>
      <w:proofErr w:type="spellEnd"/>
      <w:r>
        <w:t xml:space="preserve">, A., &amp; Orero, P. (2014). </w:t>
      </w:r>
      <w:r>
        <w:rPr>
          <w:i/>
          <w:iCs/>
        </w:rPr>
        <w:t>Audio description: New perspectives illustrated</w:t>
      </w:r>
      <w:r>
        <w:t>. John Benjamins Publishing Company.</w:t>
      </w:r>
    </w:p>
    <w:p w14:paraId="628AEDDE" w14:textId="77777777" w:rsidR="004B487C" w:rsidRDefault="00000000">
      <w:pPr>
        <w:spacing w:after="0" w:line="480" w:lineRule="auto"/>
        <w:ind w:left="720" w:hanging="720"/>
      </w:pPr>
      <w:proofErr w:type="spellStart"/>
      <w:r>
        <w:t>Matamala</w:t>
      </w:r>
      <w:proofErr w:type="spellEnd"/>
      <w:r>
        <w:t xml:space="preserve">, A., &amp; Orero, P. (2016). </w:t>
      </w:r>
      <w:r>
        <w:rPr>
          <w:i/>
          <w:iCs/>
        </w:rPr>
        <w:t>Researching audio description: New approaches</w:t>
      </w:r>
      <w:r>
        <w:t>. Palgrave Macmillan.</w:t>
      </w:r>
    </w:p>
    <w:p w14:paraId="06D438B1" w14:textId="77777777" w:rsidR="004B487C" w:rsidRDefault="00000000">
      <w:pPr>
        <w:spacing w:after="0" w:line="480" w:lineRule="auto"/>
        <w:ind w:left="720" w:hanging="720"/>
      </w:pPr>
      <w:r>
        <w:lastRenderedPageBreak/>
        <w:t xml:space="preserve">Miles, M. (2003). Segregated we stand? The mutilated Greeks' debate at Persepolis, 330 BC. </w:t>
      </w:r>
      <w:r>
        <w:rPr>
          <w:i/>
          <w:iCs/>
        </w:rPr>
        <w:t>Disability &amp; Society, 18</w:t>
      </w:r>
      <w:r>
        <w:t>(7), 865–879.</w:t>
      </w:r>
    </w:p>
    <w:p w14:paraId="168F8604" w14:textId="77777777" w:rsidR="004B487C" w:rsidRDefault="00000000">
      <w:pPr>
        <w:spacing w:after="0" w:line="480" w:lineRule="auto"/>
        <w:ind w:left="720" w:hanging="720"/>
      </w:pPr>
      <w:r>
        <w:t xml:space="preserve">Nielsen, K. E. (2012). </w:t>
      </w:r>
      <w:r>
        <w:rPr>
          <w:i/>
          <w:iCs/>
        </w:rPr>
        <w:t>A disability history of the United States</w:t>
      </w:r>
      <w:r>
        <w:t>. Beacon Press.</w:t>
      </w:r>
    </w:p>
    <w:p w14:paraId="1B150546" w14:textId="77777777" w:rsidR="004B487C" w:rsidRDefault="00000000">
      <w:pPr>
        <w:spacing w:after="0" w:line="480" w:lineRule="auto"/>
        <w:ind w:left="720" w:hanging="720"/>
      </w:pPr>
      <w:r>
        <w:t xml:space="preserve">Conway, M., </w:t>
      </w:r>
      <w:proofErr w:type="spellStart"/>
      <w:r>
        <w:t>Oppegaard</w:t>
      </w:r>
      <w:proofErr w:type="spellEnd"/>
      <w:r>
        <w:t>, B., Bullen, M., Miguel, A., &amp; Brown-</w:t>
      </w:r>
      <w:proofErr w:type="spellStart"/>
      <w:r>
        <w:t>Oglivie</w:t>
      </w:r>
      <w:proofErr w:type="spellEnd"/>
      <w:r>
        <w:t xml:space="preserve">, T. (2022). Describing people and portraits through audio description: Preferences of people who are blind, low vision, and </w:t>
      </w:r>
      <w:proofErr w:type="spellStart"/>
      <w:r>
        <w:t>DeafBlind</w:t>
      </w:r>
      <w:proofErr w:type="spellEnd"/>
      <w:r>
        <w:t>.</w:t>
      </w:r>
      <w:r>
        <w:rPr>
          <w:i/>
          <w:iCs/>
        </w:rPr>
        <w:t xml:space="preserve"> Helen Keller Services for the Blind. </w:t>
      </w:r>
      <w:r>
        <w:t>https://www.helenkeller.org/audio-describing-people-and-portraits-2022/</w:t>
      </w:r>
    </w:p>
    <w:p w14:paraId="1077FC4A" w14:textId="77777777" w:rsidR="004B487C" w:rsidRDefault="00000000">
      <w:pPr>
        <w:spacing w:after="0" w:line="480" w:lineRule="auto"/>
        <w:ind w:left="720" w:hanging="720"/>
      </w:pPr>
      <w:r>
        <w:t xml:space="preserve">Packer, T. L., McKercher, B., &amp; Yau, M. K. (2007). Understanding the complex interplay between tourism, disability, and environmental contexts. </w:t>
      </w:r>
      <w:r>
        <w:rPr>
          <w:i/>
          <w:iCs/>
        </w:rPr>
        <w:t>Disability and Rehabilitation, 29</w:t>
      </w:r>
      <w:r>
        <w:t>(4), 281–292.</w:t>
      </w:r>
    </w:p>
    <w:p w14:paraId="66165CA7" w14:textId="77777777" w:rsidR="004B487C" w:rsidRDefault="00000000">
      <w:pPr>
        <w:spacing w:after="0" w:line="480" w:lineRule="auto"/>
        <w:ind w:left="720" w:hanging="720"/>
      </w:pPr>
      <w:r>
        <w:t xml:space="preserve">Parker, A., </w:t>
      </w:r>
      <w:proofErr w:type="spellStart"/>
      <w:r>
        <w:t>Oppegaard</w:t>
      </w:r>
      <w:proofErr w:type="spellEnd"/>
      <w:r>
        <w:t xml:space="preserve">, B., Hopper, H., </w:t>
      </w:r>
      <w:proofErr w:type="spellStart"/>
      <w:r>
        <w:t>Magaoay-Baniaga</w:t>
      </w:r>
      <w:proofErr w:type="spellEnd"/>
      <w:r>
        <w:t xml:space="preserve">, H., Swearingen, K., Cable, M.-C., Samson, L. (2025). Sound, touch, and place: An exploratory study of the potential for emotive cognitive mapping </w:t>
      </w:r>
      <w:proofErr w:type="gramStart"/>
      <w:r>
        <w:t>through the use of</w:t>
      </w:r>
      <w:proofErr w:type="gramEnd"/>
      <w:r>
        <w:t xml:space="preserve"> audio description and tactile objects at a national memorial. </w:t>
      </w:r>
      <w:proofErr w:type="spellStart"/>
      <w:r>
        <w:t>Anglica</w:t>
      </w:r>
      <w:proofErr w:type="spellEnd"/>
      <w:r>
        <w:t xml:space="preserve">: An International Journal of English Studies, 34(2), 106–132. </w:t>
      </w:r>
      <w:hyperlink r:id="rId47">
        <w:r>
          <w:rPr>
            <w:color w:val="0000FF"/>
            <w:u w:val="single"/>
          </w:rPr>
          <w:t>https://doi.org/10.7311/0860-5734.34.2.06</w:t>
        </w:r>
      </w:hyperlink>
    </w:p>
    <w:p w14:paraId="02ED4E3C" w14:textId="77777777" w:rsidR="004B487C" w:rsidRDefault="00000000">
      <w:pPr>
        <w:spacing w:after="0" w:line="480" w:lineRule="auto"/>
        <w:ind w:left="720" w:hanging="720"/>
      </w:pPr>
      <w:proofErr w:type="spellStart"/>
      <w:r>
        <w:t>Perego</w:t>
      </w:r>
      <w:proofErr w:type="spellEnd"/>
      <w:r>
        <w:t xml:space="preserve">, E. (2018). Audio description: Evolving recommendations for usable, effective, and enjoyable practices. In L. Perez-Gonzalez (Ed.), </w:t>
      </w:r>
      <w:r>
        <w:rPr>
          <w:i/>
          <w:iCs/>
        </w:rPr>
        <w:t>The Routledge handbook of audiovisual translation</w:t>
      </w:r>
      <w:r>
        <w:t xml:space="preserve"> (pp. 114–129). Routledge.</w:t>
      </w:r>
    </w:p>
    <w:p w14:paraId="64DF05EC" w14:textId="77777777" w:rsidR="004B487C" w:rsidRDefault="00000000">
      <w:pPr>
        <w:spacing w:after="0" w:line="480" w:lineRule="auto"/>
        <w:ind w:left="720" w:hanging="720"/>
      </w:pPr>
      <w:r>
        <w:t xml:space="preserve">Small, J., Darcy, S., &amp; Packer, T. (2012). The embodied tourist experiences of people with vision impairment: Management implications beyond the visual gaze. </w:t>
      </w:r>
      <w:r>
        <w:rPr>
          <w:i/>
          <w:iCs/>
        </w:rPr>
        <w:t>Tourism Management, 33</w:t>
      </w:r>
      <w:r>
        <w:t>(4), 941–950.</w:t>
      </w:r>
    </w:p>
    <w:p w14:paraId="5AF31C6E" w14:textId="77777777" w:rsidR="004B487C" w:rsidRDefault="00000000">
      <w:pPr>
        <w:spacing w:after="0" w:line="480" w:lineRule="auto"/>
        <w:ind w:left="720" w:hanging="720"/>
      </w:pPr>
      <w:r>
        <w:t xml:space="preserve">Snyder, J. (2020). </w:t>
      </w:r>
      <w:r>
        <w:rPr>
          <w:i/>
          <w:iCs/>
        </w:rPr>
        <w:t>The visual made verbal: A comprehensive training manual and guide to the history and applications of audio description</w:t>
      </w:r>
      <w:r>
        <w:t>. Academic Publishing.</w:t>
      </w:r>
    </w:p>
    <w:p w14:paraId="3B9695CE" w14:textId="77777777" w:rsidR="004B487C" w:rsidRDefault="00000000">
      <w:pPr>
        <w:spacing w:after="0" w:line="480" w:lineRule="auto"/>
        <w:ind w:left="720" w:hanging="720"/>
      </w:pPr>
      <w:proofErr w:type="spellStart"/>
      <w:r>
        <w:t>Tikao</w:t>
      </w:r>
      <w:proofErr w:type="spellEnd"/>
      <w:r>
        <w:t xml:space="preserve">, K., Higgins, N., Phillips, H., &amp; Cowan, C. (2009). </w:t>
      </w:r>
      <w:proofErr w:type="spellStart"/>
      <w:r>
        <w:t>Kāpo</w:t>
      </w:r>
      <w:proofErr w:type="spellEnd"/>
      <w:r>
        <w:t xml:space="preserve"> (blind) Māori in the ancient </w:t>
      </w:r>
      <w:r>
        <w:lastRenderedPageBreak/>
        <w:t xml:space="preserve">world. </w:t>
      </w:r>
      <w:r>
        <w:rPr>
          <w:i/>
          <w:iCs/>
        </w:rPr>
        <w:t>MAI Review, 2</w:t>
      </w:r>
      <w:r>
        <w:t>(4), 1–14.</w:t>
      </w:r>
    </w:p>
    <w:p w14:paraId="1AFDE49E" w14:textId="77777777" w:rsidR="004B487C" w:rsidRDefault="00000000">
      <w:pPr>
        <w:spacing w:after="0" w:line="480" w:lineRule="auto"/>
        <w:ind w:left="720" w:hanging="720"/>
        <w:rPr>
          <w:sz w:val="22"/>
          <w:szCs w:val="22"/>
        </w:rPr>
      </w:pPr>
      <w:r>
        <w:t xml:space="preserve">World Blind Union, &amp; American Council of the Blind: Audio Description Project. (2018, November). </w:t>
      </w:r>
      <w:r>
        <w:rPr>
          <w:i/>
          <w:iCs/>
        </w:rPr>
        <w:t>Survey of worldwide audio description: Final report</w:t>
      </w:r>
      <w:r>
        <w:t xml:space="preserve">. </w:t>
      </w:r>
      <w:hyperlink r:id="rId48">
        <w:r>
          <w:rPr>
            <w:color w:val="0000FF"/>
            <w:sz w:val="22"/>
            <w:szCs w:val="22"/>
            <w:u w:val="single"/>
          </w:rPr>
          <w:t>https://adp.acb.org/docs/WBU-ACB%20%20AD%20Survey-FINAL%20REPORT.pdf</w:t>
        </w:r>
      </w:hyperlink>
    </w:p>
    <w:p w14:paraId="193840A4" w14:textId="77777777" w:rsidR="004B487C" w:rsidRDefault="00000000">
      <w:pPr>
        <w:spacing w:after="0" w:line="480" w:lineRule="auto"/>
        <w:ind w:left="720" w:hanging="720"/>
      </w:pPr>
      <w:r>
        <w:t>World Health Organization. (2025). </w:t>
      </w:r>
      <w:r>
        <w:rPr>
          <w:i/>
          <w:iCs/>
        </w:rPr>
        <w:t>Blindness and Vision Impairment. </w:t>
      </w:r>
      <w:hyperlink r:id="rId49" w:anchor="tab=tab_1">
        <w:r>
          <w:rPr>
            <w:color w:val="0000FF"/>
            <w:u w:val="single"/>
          </w:rPr>
          <w:t>https://www.who.int/health-topics/blindness-and-vision-loss#tab=tab_1</w:t>
        </w:r>
      </w:hyperlink>
    </w:p>
    <w:p w14:paraId="1E1492BF" w14:textId="77777777" w:rsidR="004B487C" w:rsidRDefault="00000000">
      <w:pPr>
        <w:spacing w:after="0" w:line="480" w:lineRule="auto"/>
        <w:ind w:left="720" w:hanging="720"/>
      </w:pPr>
      <w:r>
        <w:t xml:space="preserve">Yau, M. K. S., McKercher, B., &amp; Packer, T. L. (2004). Traveling with a disability: More than an access issue. </w:t>
      </w:r>
      <w:r>
        <w:rPr>
          <w:i/>
          <w:iCs/>
        </w:rPr>
        <w:t>Annals of Tourism Research, 31</w:t>
      </w:r>
      <w:r>
        <w:t>(4), 946–960.</w:t>
      </w:r>
    </w:p>
    <w:p w14:paraId="164E6196" w14:textId="77777777" w:rsidR="004B487C" w:rsidRDefault="004B487C">
      <w:pPr>
        <w:spacing w:after="0" w:line="480" w:lineRule="auto"/>
        <w:ind w:firstLine="0"/>
      </w:pPr>
    </w:p>
    <w:p w14:paraId="580273CF" w14:textId="77777777" w:rsidR="004B487C" w:rsidRDefault="004B487C">
      <w:pPr>
        <w:spacing w:after="0" w:line="480" w:lineRule="auto"/>
        <w:ind w:firstLine="0"/>
      </w:pPr>
    </w:p>
    <w:p w14:paraId="7121AE81" w14:textId="77777777" w:rsidR="004B487C" w:rsidRDefault="004B487C">
      <w:pPr>
        <w:spacing w:after="0" w:line="480" w:lineRule="auto"/>
        <w:ind w:firstLine="0"/>
      </w:pPr>
    </w:p>
    <w:p w14:paraId="343070B1" w14:textId="77777777" w:rsidR="004B487C" w:rsidRDefault="004B487C">
      <w:pPr>
        <w:spacing w:after="0" w:line="480" w:lineRule="auto"/>
        <w:ind w:firstLine="0"/>
      </w:pPr>
    </w:p>
    <w:p w14:paraId="41600A72" w14:textId="77777777" w:rsidR="004B487C" w:rsidRDefault="004B487C">
      <w:pPr>
        <w:spacing w:after="0" w:line="480" w:lineRule="auto"/>
        <w:ind w:firstLine="0"/>
      </w:pPr>
    </w:p>
    <w:p w14:paraId="1C7D9095" w14:textId="77777777" w:rsidR="004B487C" w:rsidRDefault="004B487C">
      <w:pPr>
        <w:spacing w:after="0" w:line="480" w:lineRule="auto"/>
        <w:ind w:firstLine="0"/>
      </w:pPr>
    </w:p>
    <w:p w14:paraId="18205D74" w14:textId="77777777" w:rsidR="004B487C" w:rsidRDefault="004B487C">
      <w:pPr>
        <w:spacing w:after="0" w:line="480" w:lineRule="auto"/>
        <w:ind w:firstLine="0"/>
      </w:pPr>
    </w:p>
    <w:p w14:paraId="2CADDCE5" w14:textId="77777777" w:rsidR="004B487C" w:rsidRDefault="004B487C">
      <w:pPr>
        <w:spacing w:after="0" w:line="480" w:lineRule="auto"/>
        <w:ind w:firstLine="0"/>
      </w:pPr>
    </w:p>
    <w:p w14:paraId="2500080C" w14:textId="77777777" w:rsidR="004B487C" w:rsidRDefault="004B487C">
      <w:pPr>
        <w:spacing w:after="0" w:line="480" w:lineRule="auto"/>
        <w:ind w:firstLine="0"/>
      </w:pPr>
    </w:p>
    <w:p w14:paraId="0D417972" w14:textId="77777777" w:rsidR="004B487C" w:rsidRDefault="004B487C">
      <w:pPr>
        <w:spacing w:after="0" w:line="480" w:lineRule="auto"/>
        <w:ind w:firstLine="0"/>
      </w:pPr>
    </w:p>
    <w:p w14:paraId="23DCD006" w14:textId="77777777" w:rsidR="004B487C" w:rsidRDefault="004B487C">
      <w:pPr>
        <w:spacing w:after="0" w:line="480" w:lineRule="auto"/>
        <w:ind w:firstLine="0"/>
      </w:pPr>
    </w:p>
    <w:p w14:paraId="69254633" w14:textId="77777777" w:rsidR="004B487C" w:rsidRDefault="004B487C">
      <w:pPr>
        <w:spacing w:after="0" w:line="480" w:lineRule="auto"/>
        <w:ind w:firstLine="0"/>
      </w:pPr>
    </w:p>
    <w:p w14:paraId="5603126E" w14:textId="77777777" w:rsidR="004B487C" w:rsidRDefault="00000000">
      <w:pPr>
        <w:pStyle w:val="Heading1"/>
        <w:jc w:val="left"/>
      </w:pPr>
      <w:r>
        <w:rPr>
          <w:noProof/>
          <w:color w:val="000000"/>
        </w:rPr>
        <w:drawing>
          <wp:inline distT="0" distB="0" distL="0" distR="0" wp14:anchorId="4EE6E21F" wp14:editId="0A7DA924">
            <wp:extent cx="1016000" cy="186055"/>
            <wp:effectExtent l="0" t="0" r="0" b="0"/>
            <wp:docPr id="8" name="image1.png" descr="Creative Commons CC:BY logo"/>
            <wp:cNvGraphicFramePr/>
            <a:graphic xmlns:a="http://schemas.openxmlformats.org/drawingml/2006/main">
              <a:graphicData uri="http://schemas.openxmlformats.org/drawingml/2006/picture">
                <pic:pic xmlns:pic="http://schemas.openxmlformats.org/drawingml/2006/picture">
                  <pic:nvPicPr>
                    <pic:cNvPr id="8" name="image1.png" descr="Creative Commons CC:BY logo"/>
                    <pic:cNvPicPr preferRelativeResize="0"/>
                  </pic:nvPicPr>
                  <pic:blipFill>
                    <a:blip r:embed="rId7"/>
                    <a:srcRect/>
                    <a:stretch>
                      <a:fillRect/>
                    </a:stretch>
                  </pic:blipFill>
                  <pic:spPr>
                    <a:xfrm>
                      <a:off x="0" y="0"/>
                      <a:ext cx="1016000" cy="186055"/>
                    </a:xfrm>
                    <a:prstGeom prst="rect">
                      <a:avLst/>
                    </a:prstGeom>
                    <a:ln/>
                  </pic:spPr>
                </pic:pic>
              </a:graphicData>
            </a:graphic>
          </wp:inline>
        </w:drawing>
      </w:r>
      <w:r>
        <w:rPr>
          <w:color w:val="000000"/>
        </w:rPr>
        <w:t xml:space="preserve"> </w:t>
      </w:r>
      <w:r>
        <w:t>Beyond words: Reception of audio description in public places complicated by external factors</w:t>
      </w:r>
      <w:r w:rsidRPr="00D93A95">
        <w:rPr>
          <w:b w:val="0"/>
          <w:bCs w:val="0"/>
        </w:rPr>
        <w:t xml:space="preserve"> by Bullen et al. </w:t>
      </w:r>
      <w:hyperlink r:id="rId50">
        <w:r w:rsidRPr="00D93A95">
          <w:rPr>
            <w:b w:val="0"/>
            <w:bCs w:val="0"/>
            <w:color w:val="0000FF"/>
            <w:u w:val="single"/>
          </w:rPr>
          <w:t>https://rdsjournal.org/index.php/journal/article/view/1391</w:t>
        </w:r>
      </w:hyperlink>
      <w:r w:rsidRPr="00D93A95">
        <w:rPr>
          <w:b w:val="0"/>
          <w:bCs w:val="0"/>
        </w:rPr>
        <w:t xml:space="preserve"> </w:t>
      </w:r>
      <w:r w:rsidRPr="00D93A95">
        <w:rPr>
          <w:b w:val="0"/>
          <w:bCs w:val="0"/>
          <w:color w:val="000000"/>
        </w:rPr>
        <w:t>is licensed under a</w:t>
      </w:r>
      <w:hyperlink r:id="rId51">
        <w:r w:rsidRPr="00D93A95">
          <w:rPr>
            <w:b w:val="0"/>
            <w:bCs w:val="0"/>
            <w:color w:val="3C78D8"/>
            <w:u w:val="single"/>
          </w:rPr>
          <w:t xml:space="preserve"> </w:t>
        </w:r>
      </w:hyperlink>
      <w:hyperlink r:id="rId52">
        <w:r w:rsidRPr="00D93A95">
          <w:rPr>
            <w:b w:val="0"/>
            <w:bCs w:val="0"/>
            <w:color w:val="0000FF"/>
            <w:u w:val="single"/>
          </w:rPr>
          <w:t>Creative Commons Attribution 4.0 International License</w:t>
        </w:r>
      </w:hyperlink>
      <w:r w:rsidRPr="00D93A95">
        <w:rPr>
          <w:b w:val="0"/>
          <w:bCs w:val="0"/>
          <w:color w:val="0000FF"/>
        </w:rPr>
        <w:t xml:space="preserve"> </w:t>
      </w:r>
      <w:r w:rsidRPr="00D93A95">
        <w:rPr>
          <w:b w:val="0"/>
          <w:bCs w:val="0"/>
          <w:color w:val="000000"/>
        </w:rPr>
        <w:t xml:space="preserve">based on a work at </w:t>
      </w:r>
      <w:hyperlink r:id="rId53">
        <w:r w:rsidRPr="00D93A95">
          <w:rPr>
            <w:b w:val="0"/>
            <w:bCs w:val="0"/>
            <w:color w:val="0000FF"/>
            <w:u w:val="single"/>
          </w:rPr>
          <w:t>https://rdsjournal.org</w:t>
        </w:r>
      </w:hyperlink>
      <w:r w:rsidRPr="00D93A95">
        <w:rPr>
          <w:b w:val="0"/>
          <w:bCs w:val="0"/>
          <w:color w:val="000000"/>
        </w:rPr>
        <w:t>.</w:t>
      </w:r>
    </w:p>
    <w:p w14:paraId="4D1B6883" w14:textId="77777777" w:rsidR="004B487C" w:rsidRDefault="004B487C">
      <w:pPr>
        <w:spacing w:before="240" w:after="240" w:line="480" w:lineRule="auto"/>
        <w:ind w:firstLine="0"/>
        <w:jc w:val="center"/>
        <w:rPr>
          <w:rFonts w:ascii="Arial" w:eastAsia="Arial" w:hAnsi="Arial" w:cs="Arial"/>
          <w:b/>
          <w:bCs/>
        </w:rPr>
      </w:pPr>
    </w:p>
    <w:p w14:paraId="2F853B57" w14:textId="77777777" w:rsidR="004B487C" w:rsidRDefault="004B487C">
      <w:pPr>
        <w:spacing w:before="240" w:after="240" w:line="480" w:lineRule="auto"/>
        <w:ind w:firstLine="0"/>
        <w:jc w:val="center"/>
        <w:rPr>
          <w:rFonts w:ascii="Arial" w:eastAsia="Arial" w:hAnsi="Arial" w:cs="Arial"/>
          <w:b/>
          <w:bCs/>
        </w:rPr>
      </w:pPr>
    </w:p>
    <w:p w14:paraId="5947A84C" w14:textId="77777777" w:rsidR="000B172D" w:rsidRDefault="000B172D" w:rsidP="000B172D">
      <w:pPr>
        <w:spacing w:before="240" w:after="240" w:line="480" w:lineRule="auto"/>
        <w:ind w:firstLine="0"/>
        <w:jc w:val="center"/>
        <w:rPr>
          <w:rFonts w:ascii="Arial" w:eastAsia="Arial" w:hAnsi="Arial" w:cs="Arial"/>
          <w:b/>
          <w:bCs/>
        </w:rPr>
      </w:pPr>
    </w:p>
    <w:p w14:paraId="2D1061FF" w14:textId="77777777" w:rsidR="000B172D" w:rsidRDefault="000B172D" w:rsidP="000B172D">
      <w:pPr>
        <w:spacing w:before="240" w:after="240" w:line="480" w:lineRule="auto"/>
        <w:ind w:firstLine="0"/>
        <w:jc w:val="center"/>
        <w:rPr>
          <w:rFonts w:ascii="Arial" w:eastAsia="Arial" w:hAnsi="Arial" w:cs="Arial"/>
          <w:b/>
          <w:bCs/>
        </w:rPr>
      </w:pPr>
    </w:p>
    <w:p w14:paraId="688C4D2D" w14:textId="77777777" w:rsidR="000B172D" w:rsidRDefault="000B172D" w:rsidP="000B172D">
      <w:pPr>
        <w:spacing w:before="240" w:after="240" w:line="480" w:lineRule="auto"/>
        <w:ind w:firstLine="0"/>
        <w:jc w:val="center"/>
        <w:rPr>
          <w:rFonts w:ascii="Arial" w:eastAsia="Arial" w:hAnsi="Arial" w:cs="Arial"/>
          <w:b/>
          <w:bCs/>
        </w:rPr>
      </w:pPr>
      <w:r>
        <w:rPr>
          <w:rFonts w:ascii="Arial" w:eastAsia="Arial" w:hAnsi="Arial" w:cs="Arial"/>
          <w:b/>
          <w:bCs/>
        </w:rPr>
        <w:t>Research Articles and Essays</w:t>
      </w:r>
    </w:p>
    <w:p w14:paraId="69799382" w14:textId="77777777" w:rsidR="000B172D" w:rsidRDefault="000B172D" w:rsidP="000B172D">
      <w:pPr>
        <w:spacing w:before="240" w:after="240" w:line="480" w:lineRule="auto"/>
        <w:ind w:firstLine="0"/>
        <w:jc w:val="center"/>
        <w:rPr>
          <w:b/>
          <w:bCs/>
        </w:rPr>
      </w:pPr>
    </w:p>
    <w:p w14:paraId="781CCC19" w14:textId="77777777" w:rsidR="000B172D" w:rsidRDefault="000B172D" w:rsidP="000B172D">
      <w:pPr>
        <w:spacing w:after="0" w:line="480" w:lineRule="auto"/>
        <w:ind w:firstLine="0"/>
        <w:jc w:val="center"/>
        <w:rPr>
          <w:b/>
          <w:bCs/>
        </w:rPr>
      </w:pPr>
      <w:r>
        <w:rPr>
          <w:b/>
          <w:bCs/>
        </w:rPr>
        <w:t>Disability Arts as Disability Justice:</w:t>
      </w:r>
    </w:p>
    <w:p w14:paraId="03CECE2D" w14:textId="77777777" w:rsidR="000B172D" w:rsidRDefault="000B172D" w:rsidP="000B172D">
      <w:pPr>
        <w:spacing w:after="0" w:line="480" w:lineRule="auto"/>
        <w:ind w:firstLine="0"/>
        <w:jc w:val="center"/>
        <w:rPr>
          <w:b/>
          <w:bCs/>
        </w:rPr>
      </w:pPr>
      <w:r>
        <w:rPr>
          <w:b/>
          <w:bCs/>
        </w:rPr>
        <w:t>Racialized Disabled Artists Navigating the Arts in Canada</w:t>
      </w:r>
    </w:p>
    <w:p w14:paraId="2FC847D3" w14:textId="77777777" w:rsidR="000B172D" w:rsidRDefault="000B172D" w:rsidP="000B172D">
      <w:pPr>
        <w:spacing w:after="0" w:line="480" w:lineRule="auto"/>
        <w:ind w:firstLine="0"/>
        <w:jc w:val="center"/>
        <w:rPr>
          <w:b/>
          <w:bCs/>
        </w:rPr>
      </w:pPr>
    </w:p>
    <w:p w14:paraId="31783B53" w14:textId="77777777" w:rsidR="000B172D" w:rsidRDefault="000B172D" w:rsidP="000B172D">
      <w:pPr>
        <w:spacing w:after="0" w:line="480" w:lineRule="auto"/>
        <w:ind w:firstLine="0"/>
        <w:jc w:val="center"/>
        <w:rPr>
          <w:b/>
          <w:bCs/>
        </w:rPr>
      </w:pPr>
    </w:p>
    <w:p w14:paraId="6C88B88A" w14:textId="77777777" w:rsidR="000B172D" w:rsidRDefault="000B172D" w:rsidP="000B172D">
      <w:pPr>
        <w:spacing w:after="0" w:line="480" w:lineRule="auto"/>
        <w:ind w:firstLine="0"/>
        <w:jc w:val="center"/>
      </w:pPr>
      <w:r>
        <w:t xml:space="preserve">Amy Li and Kelly Fritsch </w:t>
      </w:r>
    </w:p>
    <w:p w14:paraId="541C7AB8" w14:textId="77777777" w:rsidR="000B172D" w:rsidRDefault="000B172D" w:rsidP="000B172D">
      <w:pPr>
        <w:spacing w:after="0" w:line="480" w:lineRule="auto"/>
        <w:ind w:firstLine="0"/>
        <w:jc w:val="center"/>
      </w:pPr>
      <w:r>
        <w:t>Department of Sociology and Anthropology, Carleton University</w:t>
      </w:r>
    </w:p>
    <w:p w14:paraId="639CD6F5" w14:textId="77777777" w:rsidR="000B172D" w:rsidRDefault="000B172D" w:rsidP="000B172D">
      <w:pPr>
        <w:spacing w:after="0" w:line="480" w:lineRule="auto"/>
        <w:ind w:firstLine="0"/>
        <w:jc w:val="center"/>
      </w:pPr>
    </w:p>
    <w:p w14:paraId="12EF6759" w14:textId="77777777" w:rsidR="000B172D" w:rsidRDefault="000B172D" w:rsidP="000B172D">
      <w:pPr>
        <w:spacing w:after="0" w:line="480" w:lineRule="auto"/>
        <w:ind w:firstLine="0"/>
        <w:jc w:val="center"/>
      </w:pPr>
    </w:p>
    <w:p w14:paraId="055C7BDB" w14:textId="77777777" w:rsidR="000B172D" w:rsidRDefault="000B172D" w:rsidP="000B172D">
      <w:pPr>
        <w:spacing w:after="0" w:line="480" w:lineRule="auto"/>
        <w:ind w:firstLine="0"/>
        <w:rPr>
          <w:b/>
          <w:bCs/>
        </w:rPr>
      </w:pPr>
    </w:p>
    <w:p w14:paraId="48082EB7" w14:textId="77777777" w:rsidR="000B172D" w:rsidRDefault="000B172D" w:rsidP="000B172D">
      <w:pPr>
        <w:spacing w:before="240" w:after="240" w:line="480" w:lineRule="auto"/>
        <w:ind w:firstLine="0"/>
        <w:rPr>
          <w:b/>
          <w:bCs/>
        </w:rPr>
      </w:pPr>
      <w:r>
        <w:rPr>
          <w:b/>
          <w:bCs/>
        </w:rPr>
        <w:t xml:space="preserve"> </w:t>
      </w:r>
    </w:p>
    <w:p w14:paraId="7CF4F81F" w14:textId="77777777" w:rsidR="000B172D" w:rsidRDefault="000B172D" w:rsidP="000B172D">
      <w:pPr>
        <w:spacing w:before="240" w:after="240" w:line="480" w:lineRule="auto"/>
        <w:ind w:firstLine="0"/>
        <w:rPr>
          <w:b/>
          <w:bCs/>
        </w:rPr>
      </w:pPr>
      <w:r>
        <w:rPr>
          <w:b/>
          <w:bCs/>
        </w:rPr>
        <w:t xml:space="preserve"> </w:t>
      </w:r>
    </w:p>
    <w:p w14:paraId="5CDFAEB4" w14:textId="77777777" w:rsidR="000B172D" w:rsidRDefault="000B172D" w:rsidP="000B172D">
      <w:pPr>
        <w:spacing w:before="240" w:after="240" w:line="480" w:lineRule="auto"/>
        <w:ind w:firstLine="0"/>
        <w:rPr>
          <w:b/>
          <w:bCs/>
        </w:rPr>
      </w:pPr>
      <w:r>
        <w:rPr>
          <w:b/>
          <w:bCs/>
        </w:rPr>
        <w:t xml:space="preserve"> </w:t>
      </w:r>
    </w:p>
    <w:p w14:paraId="0C3E0962" w14:textId="77777777" w:rsidR="000B172D" w:rsidRDefault="000B172D" w:rsidP="000B172D">
      <w:pPr>
        <w:spacing w:before="240" w:after="240" w:line="480" w:lineRule="auto"/>
        <w:ind w:firstLine="0"/>
        <w:rPr>
          <w:b/>
          <w:bCs/>
        </w:rPr>
      </w:pPr>
      <w:r>
        <w:rPr>
          <w:b/>
          <w:bCs/>
        </w:rPr>
        <w:t xml:space="preserve"> </w:t>
      </w:r>
    </w:p>
    <w:p w14:paraId="42FAADD9" w14:textId="77777777" w:rsidR="000B172D" w:rsidRDefault="000B172D" w:rsidP="000B172D">
      <w:pPr>
        <w:spacing w:before="240" w:after="240" w:line="480" w:lineRule="auto"/>
        <w:ind w:firstLine="0"/>
        <w:rPr>
          <w:b/>
          <w:bCs/>
        </w:rPr>
      </w:pPr>
      <w:r>
        <w:rPr>
          <w:b/>
          <w:bCs/>
        </w:rPr>
        <w:t xml:space="preserve"> </w:t>
      </w:r>
    </w:p>
    <w:p w14:paraId="25EC2EFB" w14:textId="77777777" w:rsidR="000B172D" w:rsidRDefault="000B172D" w:rsidP="000B172D">
      <w:pPr>
        <w:spacing w:before="240" w:after="240" w:line="480" w:lineRule="auto"/>
        <w:ind w:firstLine="0"/>
        <w:rPr>
          <w:b/>
          <w:bCs/>
        </w:rPr>
      </w:pPr>
      <w:r>
        <w:rPr>
          <w:b/>
          <w:bCs/>
        </w:rPr>
        <w:lastRenderedPageBreak/>
        <w:t xml:space="preserve"> </w:t>
      </w:r>
    </w:p>
    <w:p w14:paraId="3FFE7304" w14:textId="77777777" w:rsidR="000B172D" w:rsidRDefault="000B172D" w:rsidP="000B172D">
      <w:pPr>
        <w:spacing w:after="0" w:line="480" w:lineRule="auto"/>
        <w:ind w:firstLine="0"/>
        <w:jc w:val="center"/>
        <w:rPr>
          <w:b/>
          <w:bCs/>
        </w:rPr>
      </w:pPr>
    </w:p>
    <w:p w14:paraId="52DC1684" w14:textId="77777777" w:rsidR="000B172D" w:rsidRDefault="000B172D" w:rsidP="000B172D">
      <w:pPr>
        <w:spacing w:after="0" w:line="480" w:lineRule="auto"/>
        <w:ind w:firstLine="0"/>
        <w:jc w:val="center"/>
        <w:rPr>
          <w:b/>
          <w:bCs/>
        </w:rPr>
      </w:pPr>
    </w:p>
    <w:p w14:paraId="428CA534" w14:textId="77777777" w:rsidR="000B172D" w:rsidRDefault="000B172D" w:rsidP="000B172D">
      <w:pPr>
        <w:spacing w:after="0" w:line="480" w:lineRule="auto"/>
        <w:ind w:firstLine="0"/>
        <w:jc w:val="center"/>
        <w:rPr>
          <w:b/>
          <w:bCs/>
        </w:rPr>
      </w:pPr>
    </w:p>
    <w:p w14:paraId="70D32228" w14:textId="1F8F2DC8" w:rsidR="000B172D" w:rsidRDefault="000B172D" w:rsidP="000B172D">
      <w:pPr>
        <w:spacing w:after="0" w:line="480" w:lineRule="auto"/>
        <w:ind w:firstLine="0"/>
        <w:jc w:val="center"/>
        <w:rPr>
          <w:b/>
          <w:bCs/>
        </w:rPr>
      </w:pPr>
      <w:r>
        <w:rPr>
          <w:b/>
          <w:bCs/>
        </w:rPr>
        <w:t xml:space="preserve"> Abstract</w:t>
      </w:r>
    </w:p>
    <w:p w14:paraId="6ED2439A" w14:textId="77777777" w:rsidR="000B172D" w:rsidRDefault="000B172D" w:rsidP="000B172D">
      <w:pPr>
        <w:spacing w:after="0" w:line="480" w:lineRule="auto"/>
        <w:ind w:firstLine="0"/>
      </w:pPr>
      <w:r>
        <w:t>Disability arts contribute to culture and disability justice in Canada, yet racialized disabled artists experience barriers to artistic recognition and accessing artistic spaces and resources. This article explores these obstacles and highlights the role of activist art and the significance of community to better support their work.</w:t>
      </w:r>
    </w:p>
    <w:p w14:paraId="13785A84" w14:textId="77777777" w:rsidR="000B172D" w:rsidRPr="00D642E8" w:rsidRDefault="000B172D" w:rsidP="000B172D">
      <w:pPr>
        <w:spacing w:after="0" w:line="480" w:lineRule="auto"/>
      </w:pPr>
      <w:r>
        <w:rPr>
          <w:i/>
          <w:iCs/>
        </w:rPr>
        <w:t xml:space="preserve">Keywords: </w:t>
      </w:r>
      <w:r w:rsidRPr="00D642E8">
        <w:t>disability arts, culture, accessibility, Canada</w:t>
      </w:r>
    </w:p>
    <w:p w14:paraId="0B353F44" w14:textId="77777777" w:rsidR="000B172D" w:rsidRDefault="000B172D" w:rsidP="000B172D">
      <w:pPr>
        <w:spacing w:after="0" w:line="480" w:lineRule="auto"/>
        <w:ind w:firstLine="0"/>
        <w:rPr>
          <w:b/>
          <w:bCs/>
        </w:rPr>
      </w:pPr>
    </w:p>
    <w:p w14:paraId="14C8C7DB" w14:textId="77777777" w:rsidR="000B172D" w:rsidRDefault="000B172D" w:rsidP="000B172D">
      <w:pPr>
        <w:spacing w:before="240" w:after="240" w:line="480" w:lineRule="auto"/>
        <w:ind w:firstLine="0"/>
        <w:rPr>
          <w:b/>
          <w:bCs/>
        </w:rPr>
      </w:pPr>
    </w:p>
    <w:p w14:paraId="75A7E037" w14:textId="77777777" w:rsidR="000B172D" w:rsidRDefault="000B172D" w:rsidP="000B172D">
      <w:pPr>
        <w:spacing w:before="240" w:after="240" w:line="480" w:lineRule="auto"/>
        <w:ind w:firstLine="0"/>
        <w:rPr>
          <w:b/>
          <w:bCs/>
        </w:rPr>
      </w:pPr>
    </w:p>
    <w:p w14:paraId="44519F02" w14:textId="77777777" w:rsidR="000B172D" w:rsidRDefault="000B172D" w:rsidP="000B172D">
      <w:pPr>
        <w:spacing w:before="240" w:after="240" w:line="480" w:lineRule="auto"/>
        <w:ind w:firstLine="0"/>
        <w:rPr>
          <w:b/>
          <w:bCs/>
        </w:rPr>
      </w:pPr>
    </w:p>
    <w:p w14:paraId="0A4DE154" w14:textId="77777777" w:rsidR="000B172D" w:rsidRDefault="000B172D" w:rsidP="000B172D">
      <w:pPr>
        <w:spacing w:before="240" w:after="240" w:line="480" w:lineRule="auto"/>
        <w:ind w:firstLine="0"/>
        <w:rPr>
          <w:b/>
          <w:bCs/>
        </w:rPr>
      </w:pPr>
    </w:p>
    <w:p w14:paraId="68C9FF92" w14:textId="77777777" w:rsidR="000B172D" w:rsidRDefault="000B172D" w:rsidP="000B172D">
      <w:pPr>
        <w:spacing w:before="240" w:after="240" w:line="480" w:lineRule="auto"/>
        <w:ind w:firstLine="0"/>
        <w:rPr>
          <w:b/>
          <w:bCs/>
        </w:rPr>
      </w:pPr>
    </w:p>
    <w:p w14:paraId="285E7CC0" w14:textId="77777777" w:rsidR="000B172D" w:rsidRDefault="000B172D" w:rsidP="000B172D">
      <w:pPr>
        <w:spacing w:before="240" w:after="240" w:line="480" w:lineRule="auto"/>
        <w:ind w:firstLine="0"/>
        <w:rPr>
          <w:b/>
          <w:bCs/>
        </w:rPr>
      </w:pPr>
    </w:p>
    <w:p w14:paraId="4BE49D21" w14:textId="77777777" w:rsidR="000B172D" w:rsidRDefault="000B172D" w:rsidP="000B172D">
      <w:pPr>
        <w:spacing w:before="240" w:after="240" w:line="480" w:lineRule="auto"/>
        <w:ind w:firstLine="0"/>
        <w:rPr>
          <w:b/>
          <w:bCs/>
        </w:rPr>
      </w:pPr>
    </w:p>
    <w:p w14:paraId="1C6CCA7D" w14:textId="77777777" w:rsidR="000B172D" w:rsidRDefault="000B172D" w:rsidP="000B172D">
      <w:pPr>
        <w:spacing w:before="240" w:after="240" w:line="480" w:lineRule="auto"/>
        <w:ind w:firstLine="0"/>
        <w:rPr>
          <w:b/>
          <w:bCs/>
        </w:rPr>
      </w:pPr>
    </w:p>
    <w:p w14:paraId="709B42DA" w14:textId="77777777" w:rsidR="000B172D" w:rsidRDefault="000B172D" w:rsidP="000B172D">
      <w:pPr>
        <w:spacing w:after="0" w:line="480" w:lineRule="auto"/>
        <w:ind w:firstLine="0"/>
        <w:jc w:val="center"/>
        <w:rPr>
          <w:b/>
          <w:bCs/>
        </w:rPr>
      </w:pPr>
    </w:p>
    <w:p w14:paraId="0F609C42" w14:textId="77777777" w:rsidR="000B172D" w:rsidRDefault="000B172D" w:rsidP="000B172D">
      <w:pPr>
        <w:spacing w:after="0" w:line="480" w:lineRule="auto"/>
        <w:ind w:firstLine="0"/>
        <w:jc w:val="center"/>
        <w:rPr>
          <w:b/>
          <w:bCs/>
        </w:rPr>
      </w:pPr>
      <w:r>
        <w:rPr>
          <w:b/>
          <w:bCs/>
        </w:rPr>
        <w:lastRenderedPageBreak/>
        <w:t>Disability Arts as Disability Justice:</w:t>
      </w:r>
    </w:p>
    <w:p w14:paraId="08575B95" w14:textId="77777777" w:rsidR="000B172D" w:rsidRDefault="000B172D" w:rsidP="000B172D">
      <w:pPr>
        <w:spacing w:after="0" w:line="480" w:lineRule="auto"/>
        <w:ind w:firstLine="0"/>
        <w:jc w:val="center"/>
        <w:rPr>
          <w:b/>
          <w:bCs/>
        </w:rPr>
      </w:pPr>
      <w:r>
        <w:rPr>
          <w:b/>
          <w:bCs/>
        </w:rPr>
        <w:t>Racialized Disabled Artists Navigating the Arts in Canada</w:t>
      </w:r>
    </w:p>
    <w:p w14:paraId="1A61212C" w14:textId="77777777" w:rsidR="000B172D" w:rsidRDefault="000B172D" w:rsidP="000B172D">
      <w:pPr>
        <w:spacing w:after="0" w:line="480" w:lineRule="auto"/>
      </w:pPr>
      <w:r>
        <w:t>Disability arts and disabled artists make crucial contributions to culture and the social movement toward disability justice in Canada. As noted by the Canada Council for the Arts (2019, p. 3), “Deaf and disability artists are creating countercultural narratives that bring valuable artistic and cultural insight.” Despite the necessity of disability arts for enhancing culture, enabling politicized disability community-building, and for its generative role in disrupting nondisabled and ableist aesthetics, disabled artists, and in particular racialized disabled artists in Canada, continue to experience barriers to artistic recognition and accessing artistic spaces and resources (Ware, 2019; Nelson, 2016). Like other disabled artists, racialized disabled artists often experience economic precarity and structural oppressions resulting from ableism and inaccessibility and “an undervaluing of the achievements and contributions of Deaf and disability artists” that frequently “</w:t>
      </w:r>
      <w:proofErr w:type="spellStart"/>
      <w:r>
        <w:t>depriv</w:t>
      </w:r>
      <w:proofErr w:type="spellEnd"/>
      <w:r>
        <w:t>[es] them of real opportunities for professionalization and collaboration” (Leduc et al. 2020, p. 8). In addition, racialized disabled artists must contend with the ways disability arts in Canada have been predominantly white which has resulted in specific racist barriers and inequities (Ware, 2021; Chandler, 2017). This underscores the vital significance of supporting and amplifying the artistic work of racialized disabled artists to more fully advance social transformations informed by disability justice and culture.</w:t>
      </w:r>
    </w:p>
    <w:p w14:paraId="1B4257C0" w14:textId="77777777" w:rsidR="000B172D" w:rsidRDefault="000B172D" w:rsidP="000B172D">
      <w:pPr>
        <w:spacing w:after="0" w:line="480" w:lineRule="auto"/>
      </w:pPr>
      <w:r>
        <w:t xml:space="preserve">Drawing on an analysis of the supporting grey and academic literature alongside semi-structured interviews with six self-identifying disabled and racialized artists in Canada, our article unpacks some of the exclusionary practices and barriers racialized and disabled artists have faced in participating in Canadian disability arts and culture. In what follows, we discuss our research design and our method of data collection and analysis. We then outline </w:t>
      </w:r>
      <w:r>
        <w:lastRenderedPageBreak/>
        <w:t>some of the ongoing systemic barriers to participating in disability arts and culture in Canada identified through our research. These issues include recognizing disabled artists as artists, the accessibility of arts applications and funding, the time and pacing of artistic production, and the whiteness of the Canadian disability arts scene. We then turn to considerations related to the importance of disability arts for pushing for disability justice and social change, and in fostering care and community.</w:t>
      </w:r>
    </w:p>
    <w:p w14:paraId="5B2D0E28" w14:textId="77777777" w:rsidR="000B172D" w:rsidRDefault="000B172D" w:rsidP="000B172D">
      <w:pPr>
        <w:spacing w:after="0" w:line="480" w:lineRule="auto"/>
        <w:ind w:firstLine="0"/>
        <w:jc w:val="center"/>
        <w:rPr>
          <w:b/>
          <w:bCs/>
        </w:rPr>
      </w:pPr>
      <w:r>
        <w:rPr>
          <w:b/>
          <w:bCs/>
        </w:rPr>
        <w:t>Research Design, Data Collection, and Analysis</w:t>
      </w:r>
    </w:p>
    <w:p w14:paraId="6A84F137" w14:textId="77777777" w:rsidR="000B172D" w:rsidRDefault="000B172D" w:rsidP="000B172D">
      <w:pPr>
        <w:spacing w:after="0" w:line="480" w:lineRule="auto"/>
      </w:pPr>
      <w:r>
        <w:t xml:space="preserve">Over the summer of 2021, with research funding provided by Carleton University through a program designed to offer undergraduate students an opportunity to work alongside a faculty member to design and complete a small research study over the course of one semester, Li and Fritsch began collaborating on a project aiming to better understand the experiences of racialized artists in the Canadian disability arts community. In line with disability justice movements that evoke disability broadly, our use of “disability arts and disabled artists” serves as an umbrella referring to art created by people who self-identify as sick, D/deaf, hard-of-hearing, </w:t>
      </w:r>
      <w:proofErr w:type="spellStart"/>
      <w:r>
        <w:t>DeafBlind</w:t>
      </w:r>
      <w:proofErr w:type="spellEnd"/>
      <w:r>
        <w:t xml:space="preserve">, low vision, Blind, Mad, mentally ill, neurodiverse, neurodivergent, mentally, cognitively, or developmentally disabled, chronically ill, or people otherwise labelled or pathologized with one or more medical diagnosis. This differs from the Canada Council for the Arts and some other artists, activists, and scholars who position Deaf as distinct from disabled (Fernandes, Navia, and </w:t>
      </w:r>
      <w:proofErr w:type="spellStart"/>
      <w:r>
        <w:t>Rouholamini</w:t>
      </w:r>
      <w:proofErr w:type="spellEnd"/>
      <w:r>
        <w:t xml:space="preserve">, 2023).  </w:t>
      </w:r>
    </w:p>
    <w:p w14:paraId="0926BF46" w14:textId="77777777" w:rsidR="000B172D" w:rsidRDefault="000B172D" w:rsidP="000B172D">
      <w:pPr>
        <w:spacing w:after="0" w:line="480" w:lineRule="auto"/>
      </w:pPr>
      <w:r>
        <w:t xml:space="preserve">After receiving institutional research board ethics clearance, six participants were recruited online through social media and by sending our recruitment materials to individuals and organizations who work with disabled artists in Canada. A one-time interview with each participant took place over Zoom, lasting approximately one hour. Participants were between 23 and 65 years old, and self-identified as racialized disabled artists. Two participants </w:t>
      </w:r>
      <w:r>
        <w:lastRenderedPageBreak/>
        <w:t xml:space="preserve">identified as Black, one as First Nations, and three as South Asian. Three participants self-identified as non-binary, two as female, and one as male. Five </w:t>
      </w:r>
      <w:proofErr w:type="gramStart"/>
      <w:r>
        <w:t>were located in</w:t>
      </w:r>
      <w:proofErr w:type="gramEnd"/>
      <w:r>
        <w:t xml:space="preserve"> the province of Ontario and one in Quebec. As our study aimed to better understand the experiences of racialized disabled artists in the disability arts community in Canada, participants were asked if they had experienced any barriers to their flourishing within disability arts in Canada and if they had ideas about how to mitigate such barriers. Participants were also asked what disability justice means to them, if they understand their art as a form of activism, and what contributions (if any) disability art can make to disability justice.</w:t>
      </w:r>
    </w:p>
    <w:p w14:paraId="2E84904F" w14:textId="77777777" w:rsidR="000B172D" w:rsidRDefault="000B172D" w:rsidP="000B172D">
      <w:pPr>
        <w:spacing w:after="0" w:line="480" w:lineRule="auto"/>
      </w:pPr>
      <w:r>
        <w:t>Our research engaged reflexive thematic analysis (RTA) to analyze our semi-structured, in-depth interviews. RTA is one approach amongst many different forms of thematic analysis (Braun and Clarke, 2022). Because of the way we came together to engage in our small collaborative and time limited research project, we were interested in an analysis method that does not have a set number of required participants (</w:t>
      </w:r>
      <w:proofErr w:type="spellStart"/>
      <w:r>
        <w:t>Wutich</w:t>
      </w:r>
      <w:proofErr w:type="spellEnd"/>
      <w:r>
        <w:t xml:space="preserve"> et al., 2024; Braun and Clarke, 2022). Rather than a fixed sample size, RTA emphasizes the depth and quality of data collected alongside other considerations like the practical constraints of the participant population and the resources available to support the research project. RTA also does not strive for saturation (Braun and Clarke, 2021). Instead, RTA emphasizes creativity, reflexivity and active interpretation as themes are produced by the researchers (Braun and Clarke, 2022). RTA was also attractive as a form of analysis because it enabled us to actively construct meaning from our participants’ narratives while foregrounding our own interpretive lenses.</w:t>
      </w:r>
    </w:p>
    <w:p w14:paraId="2EA1032A" w14:textId="77777777" w:rsidR="000B172D" w:rsidRDefault="000B172D" w:rsidP="000B172D">
      <w:pPr>
        <w:spacing w:after="0" w:line="480" w:lineRule="auto"/>
      </w:pPr>
      <w:r>
        <w:t xml:space="preserve">We are disabled people actively engaged in non-professional artistic practices and participate in Canadian disability arts culture and disability justice oriented social movements. One of us identifies as Chinese (Li) and the other as a white settler (Fritsch). As </w:t>
      </w:r>
      <w:r>
        <w:lastRenderedPageBreak/>
        <w:t>emerging and established critical disability studies scholars attentive to power relations, access needs, and the ways people navigate institutional structures, we were interested in participants’ experiences of these social relations, and if and how participants experienced and/or resisted ableism/</w:t>
      </w:r>
      <w:proofErr w:type="spellStart"/>
      <w:r>
        <w:t>sanism</w:t>
      </w:r>
      <w:proofErr w:type="spellEnd"/>
      <w:r>
        <w:t>, white supremacy, and capitalist productivity norms. Our positionality in relation to this research aligns with the goals of RTA which prioritizes depth, situated and relational knowledge production, researcher reflexivity, and the centering of underrepresented voices over statistical generalizability (Braun and Clarke, 2022, 2021). Mobilizing RTA reflects our broader commitment as critical disability studies scholars to produce knowledge that is accountable to community, attentive to complexity, and committed to disability justice and social transformation (Clare, 2017).</w:t>
      </w:r>
    </w:p>
    <w:p w14:paraId="72031B47" w14:textId="77777777" w:rsidR="000B172D" w:rsidRDefault="000B172D" w:rsidP="000B172D">
      <w:pPr>
        <w:spacing w:after="0" w:line="480" w:lineRule="auto"/>
      </w:pPr>
      <w:r>
        <w:t xml:space="preserve">Following Braun and Clarke’s non-linear process of RTA (2022), our data analysis was collaborative, deductive, latent, critical, and iterative, allowing shared meaning across the data set to be constructed through our immersion in the transcripts, interpretation, conversation, and reflection. Our analysis is informed by our own social locations, experiences, our understandings of the grey and academic literatures, and was especially influenced by our attention to, and interest in, the embodied and structural dimensions of the experiences racialized disabled artists articulated in our interviews. Acknowledging our active role in constructing meaning, our findings and discussion are interwoven below, highlighting four themes related to participants articulation of the barriers to participating in Canadian disability arts and culture. These themes </w:t>
      </w:r>
      <w:proofErr w:type="gramStart"/>
      <w:r>
        <w:t>are:</w:t>
      </w:r>
      <w:proofErr w:type="gramEnd"/>
      <w:r>
        <w:t xml:space="preserve"> recognizing and valuing racialized disabled artists as artists, the accessibility of arts applications and funding, the time and pacing of artistic production, and the whiteness of the Canadian disability arts scene. Following this, we also discuss two additional themes generated through our analysis: the importance of disability arts for disability justice and social change, as well as the vital role </w:t>
      </w:r>
      <w:r>
        <w:lastRenderedPageBreak/>
        <w:t>of racialized disabled artists for fostering care and community.</w:t>
      </w:r>
    </w:p>
    <w:p w14:paraId="7C3A5565" w14:textId="77777777" w:rsidR="000B172D" w:rsidRDefault="000B172D" w:rsidP="000B172D">
      <w:pPr>
        <w:spacing w:after="0" w:line="480" w:lineRule="auto"/>
        <w:ind w:firstLine="0"/>
      </w:pPr>
      <w:r>
        <w:rPr>
          <w:b/>
          <w:bCs/>
        </w:rPr>
        <w:t>Structural Obstacles to Disability Arts in Canada</w:t>
      </w:r>
      <w:r>
        <w:rPr>
          <w:b/>
          <w:bCs/>
        </w:rPr>
        <w:br/>
      </w:r>
      <w:r>
        <w:rPr>
          <w:b/>
          <w:bCs/>
          <w:i/>
          <w:iCs/>
        </w:rPr>
        <w:tab/>
      </w:r>
      <w:r>
        <w:rPr>
          <w:b/>
          <w:bCs/>
        </w:rPr>
        <w:t xml:space="preserve"> </w:t>
      </w:r>
      <w:r>
        <w:t>By now it is well documented that disabled artists have historically, and continue to be, excluded from creative spaces in Canada (Kelly and Orsini, 2016). An example of this exclusion is in spaces such as art galleries and museums which do not simply display artworks but offer a purposeful “representation of a community and its highest values and truths” (Duncan, 1995, 8). Institutions such as these play a crucial role in shaping cultural perceptions, determining which bodies, identities, and ideas are deemed valuable. Yet, all too often art created by disabled artists is predominantly understood to be less valuable and only appreciated as beneficial to the disabled artists due to its “therapeutic benefits” (Rose, 2022) and preconceived notions that disability art is “outsider art” (Nelson, 2016, p. 98). For example, Reid highlights how “Mad artists continue to be positioned as outsider artists, devoid of aesthetic and technical skills” (2019, p. 11).</w:t>
      </w:r>
      <w:r>
        <w:br/>
        <w:t xml:space="preserve">         </w:t>
      </w:r>
      <w:r>
        <w:tab/>
        <w:t xml:space="preserve">For some racialized disabled artists, a contributing factor to such outsider art results from a lack of access to art education and to adequate art-making supplies. As Jill, a South Asian participant put it in her interview, “I understand that the mainstream art world is very elitist, and you have to have a certain education to even be part of it… because we’re people with disabilities, we’re often poorer and we cannot afford that type of education.” This barrier was affirmed by another South Asian participant, Leila, who told us: “I never went to art school, so being a self-taught artist, it took me a really long time to be recognized as a professional artist.” </w:t>
      </w:r>
    </w:p>
    <w:p w14:paraId="64EB0564" w14:textId="77777777" w:rsidR="000B172D" w:rsidRDefault="000B172D" w:rsidP="000B172D">
      <w:pPr>
        <w:spacing w:after="0" w:line="480" w:lineRule="auto"/>
      </w:pPr>
      <w:r>
        <w:t xml:space="preserve">In addition to educational barriers, participants also noted how a lack of access to appropriate arts supplies has contributed to their exclusion. As Jill commented, “I had to save up over the years to get my art supplies, to actually produce the artwork… because it’s really </w:t>
      </w:r>
      <w:r>
        <w:lastRenderedPageBreak/>
        <w:t>expensive.” Black participant, Keegan, echoed this sentiment that art can be “so inaccessible for disabled people.” They comment: “if you don't have access to like a woodworking space, like you’re not going to be making your sculptures. You know, if you can’t afford studio time. Or if you can't afford like a Mac product…There’s all these barriers that like, you need financial resources to compete with.” Here participants clearly identify and press for increased access to education and supplies as a way of tackling the exclusion of racialized disabled artists in Canadian arts.</w:t>
      </w:r>
      <w:r>
        <w:br/>
        <w:t xml:space="preserve">         </w:t>
      </w:r>
      <w:r>
        <w:tab/>
        <w:t>To combat the underrepresentation of disabled artists and disability culture in art spaces, Nelson (2016) advocates for the active involvement of institutions and curators in acquiring, representing, and disseminating Canadian art by disabled artists. Despite such recommendations, disability equity within the Canadian disability arts scene remains fraught due in part to the ways disabled people remain “dependent on the non-disabled for access to the arts” (</w:t>
      </w:r>
      <w:proofErr w:type="spellStart"/>
      <w:r>
        <w:t>Decottignies</w:t>
      </w:r>
      <w:proofErr w:type="spellEnd"/>
      <w:r>
        <w:t xml:space="preserve">, 2016, p. 43). This dependence remains a significant barrier because “under capitalism, artmaking is connected to funding and the process of accessing funds” (Collins, Jones, and Rice, 2023, p. 12). In our interviews, for example, Black, non-binary femme participant </w:t>
      </w:r>
      <w:proofErr w:type="spellStart"/>
      <w:r>
        <w:t>Kyisha</w:t>
      </w:r>
      <w:proofErr w:type="spellEnd"/>
      <w:r>
        <w:t xml:space="preserve"> noted that grant applications “aren’t accessible to everyone” and expressed that learning “how to do that stuff” was difficult.</w:t>
      </w:r>
      <w:r>
        <w:br/>
        <w:t xml:space="preserve">         </w:t>
      </w:r>
      <w:r>
        <w:tab/>
        <w:t xml:space="preserve">Some of the ongoing barriers that exist in arts funding processes have been highlighted by the Canada Council for the Arts in their </w:t>
      </w:r>
      <w:r>
        <w:rPr>
          <w:i/>
          <w:iCs/>
        </w:rPr>
        <w:t>Environmental Scan of Access Practices in Arts Funding</w:t>
      </w:r>
      <w:r>
        <w:t xml:space="preserve"> (Fernandes, Navia, and </w:t>
      </w:r>
      <w:proofErr w:type="spellStart"/>
      <w:r>
        <w:t>Rouholamini</w:t>
      </w:r>
      <w:proofErr w:type="spellEnd"/>
      <w:r>
        <w:t xml:space="preserve">, 2023). For example, while many of the arts organizations included in the scan offer varying forms of application assistance and supports for disabled artists--including translation of written materials into sign languages, assistance submitting alternative application formats such as video or audio, and feedback on draft applications--the process of requesting and justifying assistance and </w:t>
      </w:r>
      <w:r>
        <w:lastRenderedPageBreak/>
        <w:t xml:space="preserve">support “can be a </w:t>
      </w:r>
      <w:proofErr w:type="spellStart"/>
      <w:r>
        <w:t>labour-intensive</w:t>
      </w:r>
      <w:proofErr w:type="spellEnd"/>
      <w:r>
        <w:t xml:space="preserve"> process for applicants,” a form of extra </w:t>
      </w:r>
      <w:proofErr w:type="spellStart"/>
      <w:r>
        <w:t>labour</w:t>
      </w:r>
      <w:proofErr w:type="spellEnd"/>
      <w:r>
        <w:t xml:space="preserve"> that is not required of non-disabled artists (ibid., p. 24). Furthermore, the direct disbursement of funds supporting application assistance processes can impact artists’ taxable income, which can have negative consequences for those relying on social income support programs such as the Ontario Disability Support Program, creating financial insecurity and punitive income reductions. In addition, racialized disabled artists face unique challenges in accessing funding, such as the necessity to creatively address requirements for citizenship or permanent residence status, as well as the need to navigate language and cultural barriers (ibid.). The scan highlights that centering intersectionality in access practices is crucial as many disabled artists face “interlocking oppressions [that] do impact applicants’ access to arts funding” (ibid., p. 23). Access to arts funding, in turn, impacts artist recognition.</w:t>
      </w:r>
      <w:r>
        <w:br/>
        <w:t xml:space="preserve">         </w:t>
      </w:r>
      <w:r>
        <w:tab/>
        <w:t xml:space="preserve">While for some of the artists we interviewed the application processes for funding presented barriers, for others time to apply for funds and produce art is a more significant obstacle. Some artists discussed how they need more time in the creation of their art, but also in the application processes for getting the funding necessary for artmaking. </w:t>
      </w:r>
      <w:proofErr w:type="spellStart"/>
      <w:r>
        <w:t>Kyisha</w:t>
      </w:r>
      <w:proofErr w:type="spellEnd"/>
      <w:r>
        <w:t xml:space="preserve">, for example, noted the importance of pace in their artmaking, explaining how they “can’t produce what I want when I rush.” </w:t>
      </w:r>
      <w:proofErr w:type="spellStart"/>
      <w:r>
        <w:t>Kyisha</w:t>
      </w:r>
      <w:proofErr w:type="spellEnd"/>
      <w:r>
        <w:t xml:space="preserve"> commented, “I also work on my own timeline that’s not necessarily, you know, the standard for the industry or how quickly folks without disabilities can work.” Similarly, Jill noted how “people with disabilities need a longer time to produce their pieces, and if you're applying to grants, sometimes they find it a little bit, I guess annoying to deal with.” Indeed, one finding of the Canada Council for the Arts in their </w:t>
      </w:r>
      <w:r>
        <w:rPr>
          <w:i/>
          <w:iCs/>
        </w:rPr>
        <w:t xml:space="preserve">Environmental Scan of Access Practices in Arts Funding </w:t>
      </w:r>
      <w:r>
        <w:t>echoed the need for flexibility in time (ibid.).</w:t>
      </w:r>
      <w:r>
        <w:br/>
        <w:t xml:space="preserve">         </w:t>
      </w:r>
      <w:r>
        <w:tab/>
        <w:t xml:space="preserve">Pacing and working at a speed that works for their bodies is not just about an </w:t>
      </w:r>
      <w:r>
        <w:lastRenderedPageBreak/>
        <w:t>individual accommodation but is, rather, a larger structural and disability justice issue. It is crucial to recognize that while the work of these artists is valuable, it is equally as important to allow for artists to take their time to create their work in ways that embraces their diversity of embodiments and capacities. Slowing down in itself disrupts norms around productivity and capacity; an artist is no less legitimate if they are not able to produce at the pace that capitalism dictates. Jill comments, “I wish I could… produce as much artwork as the regular mainstream artist, but I just can’t… I can’t physically do that much work… people with disabilities need a longer time to produce their pieces.”</w:t>
      </w:r>
      <w:r>
        <w:br/>
        <w:t xml:space="preserve">         </w:t>
      </w:r>
      <w:r>
        <w:tab/>
        <w:t xml:space="preserve">Pacing is also a disability justice issue in relation to the time needed to embrace expansive accessibility practices when producing art. Some of our interview participants sought to broaden and disrupt normative expectations of pace in the accessibility practices they engaged during the production of their art. For example, Leila discussed her commitment to access in her artmaking, detailing the process she went through with one of her tactile photography exhibitions which focused on the stories of people with multiple sclerosis (MS). She explained how she was prompted to make this photography exhibition multisensory after consulting with disabled community members. She notes: “during the process, and as I was talking to people, my question was, how would you like to be seen? And someone with MS who is blind [said], ‘I don't know, I can’t see.’ And it really made me consider, okay, how can I create this piece as multisensory?” Leila highlighted the need for a “balance between access and aesthetics,” and the centrality of the community in her art and artistic process. </w:t>
      </w:r>
    </w:p>
    <w:p w14:paraId="273AB75A" w14:textId="77777777" w:rsidR="000B172D" w:rsidRDefault="000B172D" w:rsidP="000B172D">
      <w:pPr>
        <w:spacing w:after="0" w:line="480" w:lineRule="auto"/>
      </w:pPr>
      <w:r>
        <w:t xml:space="preserve">In incorporating this temporal flexibility in her artmaking, she disrupted normative assumptions about the speed and pace of artistic production, and demonstrated the possibilities that exist when we move beyond what mainstream notions dictate. Leila’s tactile </w:t>
      </w:r>
      <w:r>
        <w:lastRenderedPageBreak/>
        <w:t>photography exhibition also would not have been possible if she had not taken the time to learn how to create this type of tactile art; as she explained, the process for the exhibition took a lot of time as it was a learning process for her too.</w:t>
      </w:r>
      <w:r>
        <w:br/>
        <w:t xml:space="preserve">         </w:t>
      </w:r>
      <w:r>
        <w:tab/>
        <w:t>Keegan likewise addressed issues related to time and productivity when discussing the kinds of solutions they envision for improving the current barriers racialized disabled artists face in navigating arts in Canada. Keegan discussed how universal basic income would be incredibly impactful for disabled racialized artists in that people wouldn’t “have to worry about rent.” Keegan noted: “I think there would be so much of a Renaissance that could happen, like the amount of energy and time that people could invest into their creative process if they didn't have to worry about surviving.” Having a guaranteed income would enable disabled racialized artists to take their time with their creative processes in ways that could enable a different future of art making, a future that could include rest and time for reflection. Similarly, disabled writer Leah Lakshmi Piepzna-Samarasinha writes about the role of what they call “dream time” in their creative process; they explain that this is the “time for the stories to grow,” and that when they listen to their disabled body and take time off, they are able to “give in to the bed, to the dreams, to the long, long sleeps and times curled up” resulting in “words curl[</w:t>
      </w:r>
      <w:proofErr w:type="spellStart"/>
      <w:r>
        <w:t>ing</w:t>
      </w:r>
      <w:proofErr w:type="spellEnd"/>
      <w:r>
        <w:t>] close to me” (2018, p. 184-185). Here, in their embrace of different temporalities, disabled racialized artists move us towards “imagining different futures…[that] might help us see, and do, the present differently” (</w:t>
      </w:r>
      <w:proofErr w:type="spellStart"/>
      <w:r>
        <w:t>Kafer</w:t>
      </w:r>
      <w:proofErr w:type="spellEnd"/>
      <w:r>
        <w:t>, 2013, p. 28).</w:t>
      </w:r>
    </w:p>
    <w:p w14:paraId="1298D25D" w14:textId="77777777" w:rsidR="000B172D" w:rsidRDefault="000B172D" w:rsidP="000B172D">
      <w:pPr>
        <w:spacing w:after="0" w:line="480" w:lineRule="auto"/>
      </w:pPr>
      <w:r>
        <w:t xml:space="preserve">Another major barrier identified in our interviews is the need to better center the intersectional experiences of racialized disabled artists </w:t>
      </w:r>
      <w:proofErr w:type="gramStart"/>
      <w:r>
        <w:t>in order to</w:t>
      </w:r>
      <w:proofErr w:type="gramEnd"/>
      <w:r>
        <w:t xml:space="preserve"> best inform structural transformations. For example, </w:t>
      </w:r>
      <w:proofErr w:type="spellStart"/>
      <w:r>
        <w:t>Kyisha</w:t>
      </w:r>
      <w:proofErr w:type="spellEnd"/>
      <w:r>
        <w:t xml:space="preserve"> described how “mainstream disability art space has been… dominated by white folks and like, non-Black and non-Indigenous people,” making it</w:t>
      </w:r>
      <w:r>
        <w:br/>
      </w:r>
      <w:r>
        <w:lastRenderedPageBreak/>
        <w:t xml:space="preserve"> “challenging, just to kind of, make space for myself.” Other artists like South Asian participant, Kiran, explained their struggle with being a part of various communities that do not always overlap in ways that feel affirming. Kiran highlighted some of the questions she asks herself because of these fractured intersections: “do I want to be disabled today or do I want to be Tamil today? … [D]o I want to be </w:t>
      </w:r>
      <w:proofErr w:type="gramStart"/>
      <w:r>
        <w:t>Tamil</w:t>
      </w:r>
      <w:proofErr w:type="gramEnd"/>
      <w:r>
        <w:t xml:space="preserve"> or do I want to be queer? Do I want to be </w:t>
      </w:r>
      <w:proofErr w:type="gramStart"/>
      <w:r>
        <w:t>queer</w:t>
      </w:r>
      <w:proofErr w:type="gramEnd"/>
      <w:r>
        <w:t xml:space="preserve"> or do I want to be disabled?” These perspectives speak to the importance of centering the experiences and needs of racialized disabled artists and creating more spaces that explicitly respond to the issues these artists raise. These responses also demonstrate that disability arts spaces themselves have similar pitfalls as mainstream arts when it comes to racialized artists. In this way, disabled art spaces are not always as disruptive as white disabled artists might envision in relation to the mainstream. Key to addressing this is to acknowledge how “Indigenous and racialized individuals who experience disability may intervene in ways that upset any neat ordering of identities” (Kelly and Orsini, 2016, p. 7).</w:t>
      </w:r>
      <w:r>
        <w:br/>
        <w:t xml:space="preserve">         </w:t>
      </w:r>
      <w:r>
        <w:tab/>
        <w:t xml:space="preserve">The experiences of artists like </w:t>
      </w:r>
      <w:proofErr w:type="spellStart"/>
      <w:r>
        <w:t>Kyisha</w:t>
      </w:r>
      <w:proofErr w:type="spellEnd"/>
      <w:r>
        <w:t xml:space="preserve"> underscore the dominance of white perspectives in the mainstream disability art space. The struggle of navigating fragmented identities, as expressed by Kiran, emphasizes the urgency of creating explicitly intersectional spaces in disability arts. Indeed, Black artist Gloria C. Swain has noted how disability arts spaces are not as disruptive as they might aspire to be, in that “the art world in general privileges able-bodied white men and, similarly, the disability art world privileges white disabled men because the majority of existing spaces are white art spaces” (2019, p. 22-23). Black, trans, and disabled artist and scholar </w:t>
      </w:r>
      <w:proofErr w:type="spellStart"/>
      <w:r>
        <w:t>Syrus</w:t>
      </w:r>
      <w:proofErr w:type="spellEnd"/>
      <w:r>
        <w:t xml:space="preserve"> Marcus Ware also discusses the issue of how disability arts in Canada are “a white-washed </w:t>
      </w:r>
      <w:proofErr w:type="spellStart"/>
      <w:r>
        <w:t>endeavour</w:t>
      </w:r>
      <w:proofErr w:type="spellEnd"/>
      <w:r>
        <w:t xml:space="preserve">,” writing that “Disability arts has failed disabled artists of </w:t>
      </w:r>
      <w:proofErr w:type="spellStart"/>
      <w:r>
        <w:t>colour</w:t>
      </w:r>
      <w:proofErr w:type="spellEnd"/>
      <w:r>
        <w:t xml:space="preserve"> by creating a white supremacist elite club of practitioners whose work rarely engages in questions of race and intersectionality. The impact of these tendencies </w:t>
      </w:r>
      <w:r>
        <w:lastRenderedPageBreak/>
        <w:t xml:space="preserve">is wide-reaching. The omission of racialized perspectives in these arts </w:t>
      </w:r>
      <w:proofErr w:type="gramStart"/>
      <w:r>
        <w:t>practices</w:t>
      </w:r>
      <w:proofErr w:type="gramEnd"/>
      <w:r>
        <w:t xml:space="preserve"> </w:t>
      </w:r>
      <w:proofErr w:type="spellStart"/>
      <w:r>
        <w:t>centres</w:t>
      </w:r>
      <w:proofErr w:type="spellEnd"/>
      <w:r>
        <w:t xml:space="preserve"> white disability experience as the disability experience, skewing our understanding of the very different ways in which disabled people on the margins experience the world at large and artistic communities in particular” (2021, p. 5). This demonstrates the importance of funding, supporting, and amplifying the voices of Black, Indigenous, and racialized disabled artists.</w:t>
      </w:r>
    </w:p>
    <w:p w14:paraId="0BCAE506" w14:textId="04F4557A" w:rsidR="000B172D" w:rsidRDefault="000B172D" w:rsidP="000B172D">
      <w:pPr>
        <w:spacing w:after="0" w:line="480" w:lineRule="auto"/>
      </w:pPr>
      <w:r>
        <w:t>However, this is not a call for arts spaces and institutions to tokenize multiply marginalized artists. Michel Dumont (2020), a Métis, Two-Spirit artist, for example, has noticed that “galleries can be very ineffectual at accommodation, while providing superficial solutions that aren’t necessarily driven by the needs of the artist.” He continues, “For many years, the apparent answer for art institutions in Canada seemed to be the tokenization of just a few representatives of BIPOC and disabled artists.” Avoiding tokenization can mean ensuring that artists are engaged for their art and not only to address barriers. As Leila put it, “as a disabled racialized artist, I am a little tired of always being asked about my barriers and not about my art.” While it is essential to ask artists what they need in order to best address ongoing structural barriers for racialized disabled artists to participate and flourish in the arts in Canada, it is also key to not let this detract from centering the artists and their art works.</w:t>
      </w:r>
      <w:r>
        <w:br/>
        <w:t xml:space="preserve">         </w:t>
      </w:r>
      <w:r>
        <w:tab/>
        <w:t>All of this underscores the imperative of dismantling systemic barriers within the disability arts scene in Canada as highlighted in our interviews and the supporting literature. By embracing equity practices informed by disability justice, a more inclusive and transformative landscape can be cultivated, ensuring that disabled artists of all backgrounds are given the platform they deserve to better focus on the production and dissemination of their art.</w:t>
      </w:r>
      <w:r>
        <w:br/>
      </w:r>
    </w:p>
    <w:p w14:paraId="01C0C33E" w14:textId="77777777" w:rsidR="000B172D" w:rsidRDefault="000B172D" w:rsidP="000B172D">
      <w:pPr>
        <w:spacing w:after="0" w:line="480" w:lineRule="auto"/>
        <w:ind w:firstLine="0"/>
      </w:pPr>
      <w:r>
        <w:rPr>
          <w:b/>
          <w:bCs/>
        </w:rPr>
        <w:t>Disability Justice and Art for Social Change</w:t>
      </w:r>
      <w:r>
        <w:rPr>
          <w:b/>
          <w:bCs/>
        </w:rPr>
        <w:br/>
      </w:r>
      <w:r>
        <w:lastRenderedPageBreak/>
        <w:tab/>
        <w:t>In addition to themes related to the exclusionary structural barriers impacting racialized disabled artists in Canada, another major theme generated by our analysis is the importance of art as pushing for social change and activism. Creating disability art is not only a creative act, but also a political one that, when grounded in disability justice and disability culture, challenges normative values and disrupts dominant aesthetics, enables politicized community-building, and fosters expansive accessibility practices. In what follows, we expand on each these contributions.</w:t>
      </w:r>
      <w:r>
        <w:tab/>
      </w:r>
      <w:r>
        <w:br/>
        <w:t xml:space="preserve">         </w:t>
      </w:r>
      <w:r>
        <w:tab/>
        <w:t xml:space="preserve">Disability arts </w:t>
      </w:r>
      <w:proofErr w:type="gramStart"/>
      <w:r>
        <w:t>disrupts</w:t>
      </w:r>
      <w:proofErr w:type="gramEnd"/>
      <w:r>
        <w:t xml:space="preserve"> dominant narratives around disability “by offering multiple representations of disability experience that celebrate and desire disabled life and disability community” (White, 2017, p. 134). By taking up space in the public through art, disability arts hold a transformative role in shifting our views of disability and can impact the daily lives of disabled people (Chandler et al., 2021). As Chandler argues, “disability art is vital to the disabled people’s movement for its imaginings and perpetuations of new understandings of disability and new worldly arrangements that can hold, even desire, them” (2018, p. 458-459). Other scholars like Kafai have also discussed the relationship between art and activism and how “the connecting of art and activism … mobilizes and creates profound social change. It gifts us with the ability to ignite a self and communal recognition that reroutes us back to our luscious, disabled, queer of color selves” (2021, p. 46). Discussing the power of disabled storytelling to disrupt dominant narratives around disability, Kafai writes that “In sharing our crip stories, we unearth legacies of colonialism and nondisabled supremacy. We… craft ourselves new routes to follow” (2021, p. 37).</w:t>
      </w:r>
      <w:r>
        <w:br/>
        <w:t xml:space="preserve">         </w:t>
      </w:r>
      <w:r>
        <w:tab/>
        <w:t xml:space="preserve">Jeff, a First Nations participant, noted how his perspective led him to craft new routes by understanding colonialism itself as a form of disablement, leading him to curate an exhibition on residential schools. He commented, “If I didn’t have a disability, I wouldn’t </w:t>
      </w:r>
      <w:r>
        <w:lastRenderedPageBreak/>
        <w:t>have been a curator or curated that exhibition… in terms of my disability, it’s given me the opportunity to be active in terms of my addressing some of the systemic problems that we have.” As participant Jill echoed: “I feel like we should tell our own [stories], and each of us have our own unique experience with ableism… We see problems that other people don’t see as problems.” Jill commented further: “I think my art is a lot about like expressing a lot of the hardships I faced with the medical system.” These hardships, however, can be complexified and nuanced through art grounded in disability justice. As Jill put it, “because of my experience as a like woman of color, I can’t deny how like, white supremacy and misogyny works in making my experience with the medical system a lot harder and a lot more difficult.”</w:t>
      </w:r>
      <w:r>
        <w:br/>
        <w:t xml:space="preserve">         </w:t>
      </w:r>
      <w:r>
        <w:tab/>
        <w:t>Keegan also</w:t>
      </w:r>
      <w:r>
        <w:rPr>
          <w:b/>
          <w:bCs/>
        </w:rPr>
        <w:t xml:space="preserve"> </w:t>
      </w:r>
      <w:r>
        <w:t xml:space="preserve">highlighted that oppression works in part through camouflage and that art plays a role in revealing the material conditions of how oppression manifests. Art is, Keegan argued, “a statement of… I exist. I’m here. And like, that draws attention to the all the different ways that colonialism and all different types of oppression exist. I feel like so much oppression manifests because people don’t talk about it or because it’s like hidden.” </w:t>
      </w:r>
      <w:proofErr w:type="spellStart"/>
      <w:r>
        <w:t>Kyisha</w:t>
      </w:r>
      <w:proofErr w:type="spellEnd"/>
      <w:r>
        <w:t xml:space="preserve"> echoed this, noting, “All the art that I make is about the things that I believe in, and about the changes that I see that need to be made, the gaps, you know? … I do feel like my art is activism in that I’m creating it to make change and I'm creating it to start conversations.”</w:t>
      </w:r>
    </w:p>
    <w:p w14:paraId="5B0ECD81" w14:textId="77777777" w:rsidR="000B172D" w:rsidRDefault="000B172D" w:rsidP="000B172D">
      <w:pPr>
        <w:spacing w:after="0" w:line="480" w:lineRule="auto"/>
      </w:pPr>
      <w:r>
        <w:t xml:space="preserve">Further understandings of how art can be a vehicle for disrupting dominant narratives around disability emerged across other interviews. For example, Kiran said “it’s my way of taking up space and being like, listen to me, hear me, hear these stories that are so often neglected, or maybe not even underrepresented, but like intentionally cut out because it makes people uncomfortable or sad.” Kiran highlighted how taking up space through their art is also a way to demand for people to invest their time in hearing their stories as a disabled </w:t>
      </w:r>
      <w:r>
        <w:lastRenderedPageBreak/>
        <w:t>and racialized artist. This can also be seen as disruptive to normative assumptions on how time should be valued and spent, as a non-disabled person’s time is often seen as more valuable or important, and rarely are people encouraged to invest time in disability culture or community.</w:t>
      </w:r>
      <w:r>
        <w:br/>
        <w:t xml:space="preserve">         </w:t>
      </w:r>
      <w:r>
        <w:tab/>
        <w:t xml:space="preserve">These responses highlight how disability arts spaces cannot only be an avenue for disrupting the literal artistic aesthetics that dominate in the mainstream arts world, but they also disrupt neoliberal aesthetics which perpetuate ideas of how “burdensome” disabled people are, frequently using such ideas as justification to promote or implement austerity policies. Similar to Nishida’s (2022, p. 172) arguments on the value of bed activism and how it can also serve as “a way to </w:t>
      </w:r>
      <w:proofErr w:type="spellStart"/>
      <w:r>
        <w:t>visiblize</w:t>
      </w:r>
      <w:proofErr w:type="spellEnd"/>
      <w:r>
        <w:t xml:space="preserve"> and value the richness of time spent in bed, no matter how it may be registered as unproductive in the hegemonic society or unpleasant it may feel,” our findings suggest that disability arts can be a similar vehicle for disrupting broader norms about productivity and capacity. Particularly for racialized disabled artists who face additional expectations to not “inconvenience” others with their access needs or care needs--as Piepzna-Samarasinha writes “many of us had been raised to survive by never having needs” (2022, p. 36)--taking up space through these artmaking practices is especially important.</w:t>
      </w:r>
      <w:r>
        <w:br/>
        <w:t xml:space="preserve">         </w:t>
      </w:r>
      <w:r>
        <w:tab/>
        <w:t xml:space="preserve">While the majority of interviewed artists noted how their art also serves as activism and how there are educational benefits of artmaking, disability arts can also be understood as an act of survival for these artists. Not just through the creation of these arts, but also as Reid argues, “to change, unsettle, transform, and transgress the larger art world” (Reid, 2019, p. 7). As Lee (n.d.) argues, “The formation of a distinct disability culture through art motions not only to the transformative possibilities of art, but points to its potential to reinvent reality itself.” Cultural work like what the artists we interviewed are creating, is not solely an avenue </w:t>
      </w:r>
      <w:r>
        <w:lastRenderedPageBreak/>
        <w:t>for educating non-disabled people and broader society, but a disruptive tool for collective liberation. While certainly disability arts can be educational in how they may prompt non-disabled people to reframe how they see disability, disability arts “advances a disruptive, anti-assimilationist politic” and it would be difficult to disentangle the movement from its politics (Chandler et al., 2021, p. 173). Not only are disability arts a disruptive force through which crip futurities can be imagined, but they also document disabled existence--they enable these artists to take up space and loudly proclaim they exist.</w:t>
      </w:r>
      <w:r>
        <w:br/>
        <w:t xml:space="preserve">         </w:t>
      </w:r>
      <w:r>
        <w:tab/>
        <w:t xml:space="preserve">In taking up space in this way, the importance of disability arts to broader social change is deeply related to the role of their art in fostering care and community. Jill noted how she uses “art as a tool to find community” since it can be difficult to find other disabled people who share similar experiences. Leila also expressed how she centers community feedback in her own creation process, which demonstrates how a commitment to care is very central to disability arts, and specifically disability justice artmaking. Leila explains how her “work is multisensory,” making it “very much about, you know, consulting with folks with disabilities whenever possible.” She also builds care into her artmaking process not just when considering the actual creation of the art, but from the grant writing stage: “I consider access costs and access needs as much as possible.” She explains how her experiences learning about multisensory artmaking through a disability arts organization in Canada “deeply influenced how I make my art and how I welcome people to experience it.” She further explains that “It’s not just about the artwork. It’s about, how do you create artwork that enables folks to feel like they’ve been considered … It’s not just about I </w:t>
      </w:r>
      <w:proofErr w:type="gramStart"/>
      <w:r>
        <w:t>have to</w:t>
      </w:r>
      <w:proofErr w:type="gramEnd"/>
      <w:r>
        <w:t xml:space="preserve">, it’s a deep want, to welcome folks with disabilities to my exhibitions.” </w:t>
      </w:r>
    </w:p>
    <w:p w14:paraId="61EEBF9B" w14:textId="77777777" w:rsidR="000B172D" w:rsidRDefault="000B172D" w:rsidP="000B172D">
      <w:pPr>
        <w:spacing w:after="0" w:line="480" w:lineRule="auto"/>
      </w:pPr>
      <w:r>
        <w:t xml:space="preserve">The ways disabled and racialized artists like Leila have built in these intentional acts of caring into all aspects of their artmaking is disruptive to normative approaches to the </w:t>
      </w:r>
      <w:r>
        <w:lastRenderedPageBreak/>
        <w:t xml:space="preserve">production of art. For example, as Leila’s artwork is multisensory, she has “had a couple of exhibitions, thinking about the vibrations, thinking about the tactility, touching something in a mainstream art space.” Specifically, she asks questions like “how </w:t>
      </w:r>
      <w:proofErr w:type="gramStart"/>
      <w:r>
        <w:t>can you</w:t>
      </w:r>
      <w:proofErr w:type="gramEnd"/>
      <w:r>
        <w:t xml:space="preserve"> play with the senses to create something fun and challenge these spaces that are historically quite ableist. Why not touch sculptures? Why not think about touching photographs… how do you take a photograph to be touched instead of seeing?” Leila’s intentional integration of care extends beyond the creation of the artwork itself, permeating every stage from grant writing to the exhibition space. This care challenges normative assumptions about art production. By consciously considering access costs and needs, Leila is disrupting traditional expectations and fostering a deep sense of consideration for the disabled audience. Similarly, disability justice enacted for </w:t>
      </w:r>
      <w:proofErr w:type="spellStart"/>
      <w:r>
        <w:t>Kyisha</w:t>
      </w:r>
      <w:proofErr w:type="spellEnd"/>
      <w:r>
        <w:t xml:space="preserve"> is about making sure people’s needs are met; whether that be by having interpreters present or providing support through funds for therapy, </w:t>
      </w:r>
      <w:proofErr w:type="spellStart"/>
      <w:r>
        <w:t>Kyisha</w:t>
      </w:r>
      <w:proofErr w:type="spellEnd"/>
      <w:r>
        <w:t xml:space="preserve"> creates space for the artists participating in their projects “to be able to come to the work fully and participate fully.”</w:t>
      </w:r>
      <w:r>
        <w:br/>
        <w:t xml:space="preserve">         </w:t>
      </w:r>
      <w:r>
        <w:tab/>
        <w:t xml:space="preserve">In a world that often devalues the lives of disabled individuals, the cultural work of racialized disabled artists becomes even more crucial. Their creations stand as a testament to disabled richness within an ableist society, deeply embedded in the affective, politically aesthetic fabric of crip cultural production driven by care. Keegan emphasized the influence of disability justice to create space for people who don’t have “industry contacts” or “fancy equipment” to “come as you are.” Keegan had helped organize an open mic night for Black people and they were thrilled by how many disabled people signed up. “That was really powerful for me,” Keegan commented, “just to see this whole community of people come together to talk about their experiences, and to like </w:t>
      </w:r>
      <w:proofErr w:type="gramStart"/>
      <w:r>
        <w:t>create</w:t>
      </w:r>
      <w:proofErr w:type="gramEnd"/>
      <w:r>
        <w:t xml:space="preserve"> beautiful music, and like tell people their poetry, show people their art… I thought that was really, </w:t>
      </w:r>
      <w:proofErr w:type="gramStart"/>
      <w:r>
        <w:t>really special</w:t>
      </w:r>
      <w:proofErr w:type="gramEnd"/>
      <w:r>
        <w:t xml:space="preserve"> and powerful.” </w:t>
      </w:r>
      <w:r>
        <w:lastRenderedPageBreak/>
        <w:t xml:space="preserve">Creating disabled arts spaces can produce opportunities for communities to connect and gather, and as Kiran highlighted: “I think like a lot of people who do events programming for disability justice, they do it with the intent of, like there is an intention of, you know, creating these spaces. It’s not just done by accident. People aren’t like, oh, I’m accidentally going to do an event dedicated to disability justice. And I think it’s done with a lot of like love in people’s hearts and care for the community. And I think when you’re putting that at the forefront, like, of course, it's going to be so different than like if it's an afterthought.” Generally, the artists found that disability arts spaces were more accessible to navigate than mainstream arts spaces. Keegan’s noted barriers in the mainstream arts scene include a lack of community care: “I think disability justice in general really emphasizes community care, you know what I mean? And like, coming together, like not leaving people behind. So, I’ve seen like lots of cool like arts collectives… fundraising to like </w:t>
      </w:r>
      <w:proofErr w:type="gramStart"/>
      <w:r>
        <w:t>buy</w:t>
      </w:r>
      <w:proofErr w:type="gramEnd"/>
      <w:r>
        <w:t xml:space="preserve"> this person a replacement amp because their amp fucked up… I feel like there’s like more support in that way.” Some others highlighted how generative disability arts spaces are for them; for example, Leila discussed how “I think that the disability arts scene in Canada really taught me about what it’s like to feel like I’m treated with dignity, and respect, and worth, and it's really what I want to consider in the art that I make, is that kind of feeling of love and dignity. And that’s been incredibly inspired by the disability arts community here.” </w:t>
      </w:r>
    </w:p>
    <w:p w14:paraId="1F3983D0" w14:textId="77777777" w:rsidR="000B172D" w:rsidRDefault="000B172D" w:rsidP="000B172D">
      <w:pPr>
        <w:spacing w:after="0" w:line="480" w:lineRule="auto"/>
        <w:rPr>
          <w:b/>
          <w:bCs/>
        </w:rPr>
      </w:pPr>
      <w:r>
        <w:t xml:space="preserve">Keegan found the disability arts scene to be more accessible than the mainstream Canadian arts world commenting, “I feel like disabled people recognize like how hard life is for us, a lot of the time. Or like how difficult things can be.” The disability arts scene seeks to make space where “people can do the things that they love without having to sacrifice their wellbeing, or not having to, you know, burn themselves out or hurt themselves trying to do it.” Here, Keegan found “kinship with other disabled artists” </w:t>
      </w:r>
      <w:proofErr w:type="gramStart"/>
      <w:r>
        <w:t>as a way to</w:t>
      </w:r>
      <w:proofErr w:type="gramEnd"/>
      <w:r>
        <w:t xml:space="preserve"> deal with barriers in </w:t>
      </w:r>
      <w:r>
        <w:lastRenderedPageBreak/>
        <w:t>the Canadian arts scene. Leila too noted that “There's something just so enriching, and nourishing, and validating, with being with other disabled artists, like Mad, Deaf, disabled artists.” Of being at a disabled arts event in Canada Leila said: “I feel like there was actually glitter in the air, like sparkles in the air.” At this event, there was not “a hierarchy of ability. And it was beautiful.” This is contrasted with the mainstream as articulated by Kiran: “I think in the mainstream, a lot of times it is an afterthought, like it’s oops, like we forgot there's someone with a wheelchair coming, and that like really sucks.”</w:t>
      </w:r>
      <w:r>
        <w:br/>
        <w:t xml:space="preserve">         </w:t>
      </w:r>
      <w:r>
        <w:tab/>
        <w:t xml:space="preserve">Our participants also discussed how the disability arts spaces they have participated in challenge mainstream arts spaces in a variety of ways. One of the ways this happens is through its community-building potential. One of the solutions that Leila envisioned for improving </w:t>
      </w:r>
      <w:proofErr w:type="gramStart"/>
      <w:r>
        <w:t>all of</w:t>
      </w:r>
      <w:proofErr w:type="gramEnd"/>
      <w:r>
        <w:t xml:space="preserve"> the barriers that disabled racialized artists face in navigating these disability arts spaces, was to “have gathering spaces where it's not about doing things, but about resting together as disabled artists.” This idea grew out of a conversation Leila had with Jessica Watkin, as they discussed how while many disability arts events and spaces can be wonderful, they are also an “intense time” that are packed with activities. Instead, they wished for “opportunities for us to come together and be. Without having a whole bunch of stuff to do, and just be together, because I think that that's where collaborations are formed and where we can kind of just chill together.” Keegan similarly explained how “a lot of people just want to jam, you know? They just want to create like with their friends, and then show them, like let’s get a charcuterie board and let’s look at each other’s art while we eat this cheese.” Disability arts creates all sorts of crip cultural space, and while often these spaces can also be opportunities for education or for broader engagement, as these responses show, it is also crucial to cultivate arts spaces meant just for being in community with each other as disabled artists.</w:t>
      </w:r>
      <w:r>
        <w:br/>
      </w:r>
      <w:r>
        <w:lastRenderedPageBreak/>
        <w:t xml:space="preserve">         </w:t>
      </w:r>
      <w:r>
        <w:tab/>
        <w:t xml:space="preserve">Disability arts spaces also assert access to be an integral part of creative content and the artistic process from inception to presentation (Jacobson and </w:t>
      </w:r>
      <w:proofErr w:type="spellStart"/>
      <w:r>
        <w:t>McMurchy</w:t>
      </w:r>
      <w:proofErr w:type="spellEnd"/>
      <w:r>
        <w:t xml:space="preserve">, 2010, p. 8). Jeff discussed how his access practices have been grounded in disability culture: “I’ve been able to be very successful with what I’ve been able to do and accomplish, and it didn’t really come from ignoring my disability, it came from recognizing my disability and figuring out a way to continue to </w:t>
      </w:r>
      <w:proofErr w:type="gramStart"/>
      <w:r>
        <w:t>go, or</w:t>
      </w:r>
      <w:proofErr w:type="gramEnd"/>
      <w:r>
        <w:t xml:space="preserve"> finding a way to go forward with it.” As Jeff began to experience decreased mobility, he switched from processing film to using digital photography, and as physically setting up his shots became too demanding, he also began taking photographs from his inside his car. Jeff’s experiences also highlight how access needs can evolve and how the changing reality of his disability is entangled with his artmaking.</w:t>
      </w:r>
      <w:r>
        <w:br/>
        <w:t xml:space="preserve">         </w:t>
      </w:r>
      <w:r>
        <w:tab/>
        <w:t>Disability arts in Canada is vital in its transformative potential to enable politicized community-building and disrupt preconceptions about disability. Engaging in disability art is not just a creative endeavor; it is a powerful political act challenging normative values and disrupting prevailing aesthetics.</w:t>
      </w:r>
    </w:p>
    <w:p w14:paraId="7C82889E" w14:textId="77777777" w:rsidR="000B172D" w:rsidRDefault="000B172D" w:rsidP="000B172D">
      <w:pPr>
        <w:spacing w:after="0" w:line="480" w:lineRule="auto"/>
        <w:ind w:firstLine="0"/>
        <w:jc w:val="center"/>
        <w:rPr>
          <w:b/>
          <w:bCs/>
        </w:rPr>
      </w:pPr>
      <w:r>
        <w:rPr>
          <w:b/>
          <w:bCs/>
        </w:rPr>
        <w:t>Conclusion</w:t>
      </w:r>
    </w:p>
    <w:p w14:paraId="36C00F3C" w14:textId="77777777" w:rsidR="000B172D" w:rsidRDefault="000B172D" w:rsidP="000B172D">
      <w:pPr>
        <w:spacing w:after="0" w:line="480" w:lineRule="auto"/>
      </w:pPr>
      <w:r>
        <w:t xml:space="preserve">Artmaking provides opportunities to not just envision what a disabled future can look like, but actually “making--even if it’s just for a few hours--the next world that’s possible” (Piepzna-Samarasinha, 2022, p. 196). This next world is not just about how the art might guide our imaginations of disabled futures, but also in the care that is embedded in many of these artists’ processes of artmaking and creation. In analyzing these artists’ experiences navigating both disability arts and mainstream arts spaces, it becomes clear how important their art is to not only community-building but also to disability culture and disability justice. As </w:t>
      </w:r>
      <w:proofErr w:type="spellStart"/>
      <w:r>
        <w:t>Kyisha</w:t>
      </w:r>
      <w:proofErr w:type="spellEnd"/>
      <w:r>
        <w:t xml:space="preserve"> articulated “disability justice to me is my vision of freedom.” This cultural work is so vital during a time when governments and institutions have promoted a deep devaluation </w:t>
      </w:r>
      <w:r>
        <w:lastRenderedPageBreak/>
        <w:t>of disabled lives. The work that Black, Indigenous, and racialized disabled artists continue to lovingly create is “a phenomenal disabled richness within an ableist scarcity wasteland” (Piepzna-Samarasinha, 2022, p. 179). As Alice Wong writes in her memoir, “many of us know the safety net has gaping holes and the state will not save us, so we’re going to save ourselves with abundance, wisdom, joy, and love” (2022, p. 270).</w:t>
      </w:r>
    </w:p>
    <w:p w14:paraId="0115319D" w14:textId="77777777" w:rsidR="000B172D" w:rsidRDefault="000B172D" w:rsidP="000B172D">
      <w:pPr>
        <w:spacing w:after="0" w:line="480" w:lineRule="auto"/>
      </w:pPr>
      <w:r>
        <w:t>Disability arts and the contributions of disabled artists play a pivotal role in shaping disability culture and propelling the disability justice movement. Despite the indispensable nature of disability arts in enriching disability culture, fostering politicized community-building, and challenging non-disabled and eugenicist aesthetics, disabled artists in Canada, particularly those who are racialized, encounter persistent barriers to artistic recognition and access to creative spaces and resources. It is vitally important to support and amplify racialized disabled artists to more fully advance social transformations informed by disability justice and culture in Canada and beyond.</w:t>
      </w:r>
    </w:p>
    <w:p w14:paraId="251D0C15" w14:textId="77777777" w:rsidR="000B172D" w:rsidRDefault="000B172D" w:rsidP="000B172D">
      <w:pPr>
        <w:spacing w:before="240" w:after="240" w:line="480" w:lineRule="auto"/>
        <w:ind w:firstLine="0"/>
      </w:pPr>
      <w:r>
        <w:t xml:space="preserve"> </w:t>
      </w:r>
    </w:p>
    <w:p w14:paraId="6665565F" w14:textId="77777777" w:rsidR="000B172D" w:rsidRDefault="000B172D" w:rsidP="000B172D">
      <w:pPr>
        <w:spacing w:before="240" w:after="240" w:line="480" w:lineRule="auto"/>
        <w:ind w:firstLine="0"/>
      </w:pPr>
      <w:r>
        <w:t xml:space="preserve"> </w:t>
      </w:r>
    </w:p>
    <w:p w14:paraId="58AF708F" w14:textId="77777777" w:rsidR="000B172D" w:rsidRDefault="000B172D" w:rsidP="000B172D">
      <w:pPr>
        <w:spacing w:before="240" w:after="240" w:line="480" w:lineRule="auto"/>
        <w:ind w:firstLine="0"/>
      </w:pPr>
      <w:r>
        <w:t xml:space="preserve"> </w:t>
      </w:r>
    </w:p>
    <w:p w14:paraId="5D7E11B6" w14:textId="77777777" w:rsidR="000B172D" w:rsidRDefault="000B172D" w:rsidP="000B172D">
      <w:pPr>
        <w:spacing w:before="240" w:after="240" w:line="480" w:lineRule="auto"/>
        <w:ind w:firstLine="0"/>
      </w:pPr>
      <w:r>
        <w:t xml:space="preserve"> </w:t>
      </w:r>
    </w:p>
    <w:p w14:paraId="487A654F" w14:textId="77777777" w:rsidR="000B172D" w:rsidRDefault="000B172D" w:rsidP="000B172D">
      <w:pPr>
        <w:spacing w:before="240" w:after="240" w:line="480" w:lineRule="auto"/>
        <w:ind w:firstLine="0"/>
      </w:pPr>
      <w:r>
        <w:t xml:space="preserve"> </w:t>
      </w:r>
    </w:p>
    <w:p w14:paraId="1A8D5AA6" w14:textId="77777777" w:rsidR="000B172D" w:rsidRDefault="000B172D" w:rsidP="000B172D">
      <w:pPr>
        <w:spacing w:before="240" w:after="240" w:line="480" w:lineRule="auto"/>
        <w:ind w:firstLine="0"/>
        <w:rPr>
          <w:b/>
          <w:bCs/>
        </w:rPr>
      </w:pPr>
    </w:p>
    <w:p w14:paraId="3BDB48B4" w14:textId="77777777" w:rsidR="000B172D" w:rsidRDefault="000B172D" w:rsidP="000B172D">
      <w:pPr>
        <w:spacing w:before="240" w:after="240" w:line="480" w:lineRule="auto"/>
        <w:ind w:firstLine="0"/>
        <w:rPr>
          <w:b/>
          <w:bCs/>
        </w:rPr>
      </w:pPr>
    </w:p>
    <w:p w14:paraId="7C7520A3" w14:textId="77777777" w:rsidR="000B172D" w:rsidRDefault="000B172D" w:rsidP="000B172D">
      <w:pPr>
        <w:spacing w:before="240" w:after="240" w:line="480" w:lineRule="auto"/>
        <w:ind w:firstLine="0"/>
        <w:rPr>
          <w:b/>
          <w:bCs/>
        </w:rPr>
      </w:pPr>
    </w:p>
    <w:p w14:paraId="3472106A" w14:textId="77777777" w:rsidR="000B172D" w:rsidRDefault="000B172D" w:rsidP="000B172D">
      <w:pPr>
        <w:spacing w:before="240" w:after="0" w:line="480" w:lineRule="auto"/>
        <w:ind w:firstLine="0"/>
        <w:jc w:val="center"/>
        <w:rPr>
          <w:b/>
          <w:bCs/>
        </w:rPr>
      </w:pPr>
      <w:r>
        <w:rPr>
          <w:b/>
          <w:bCs/>
        </w:rPr>
        <w:t>References</w:t>
      </w:r>
    </w:p>
    <w:p w14:paraId="16EC8E73" w14:textId="77777777" w:rsidR="000B172D" w:rsidRDefault="000B172D" w:rsidP="000B172D">
      <w:pPr>
        <w:spacing w:after="0" w:line="480" w:lineRule="auto"/>
        <w:ind w:firstLine="0"/>
      </w:pPr>
      <w:r>
        <w:t xml:space="preserve">Bhullar, M. (2021, May 19). </w:t>
      </w:r>
      <w:proofErr w:type="spellStart"/>
      <w:r>
        <w:t>Syrus</w:t>
      </w:r>
      <w:proofErr w:type="spellEnd"/>
      <w:r>
        <w:t xml:space="preserve"> Marcus Ware on Making Revolution Irresistible.”</w:t>
      </w:r>
    </w:p>
    <w:p w14:paraId="0C218063" w14:textId="77777777" w:rsidR="000B172D" w:rsidRDefault="000B172D" w:rsidP="000B172D">
      <w:pPr>
        <w:spacing w:after="0" w:line="480" w:lineRule="auto"/>
        <w:rPr>
          <w:sz w:val="22"/>
          <w:szCs w:val="22"/>
        </w:rPr>
      </w:pPr>
      <w:r>
        <w:rPr>
          <w:i/>
          <w:iCs/>
        </w:rPr>
        <w:t>Rabble</w:t>
      </w:r>
      <w:r>
        <w:t>.</w:t>
      </w:r>
      <w:hyperlink r:id="rId54">
        <w:r>
          <w:t xml:space="preserve"> </w:t>
        </w:r>
      </w:hyperlink>
      <w:hyperlink r:id="rId55">
        <w:r>
          <w:rPr>
            <w:color w:val="1155CC"/>
            <w:sz w:val="22"/>
            <w:szCs w:val="22"/>
            <w:u w:val="single"/>
          </w:rPr>
          <w:t>https://rabble.ca/anti-racism/syrus-marcus-ware-making-revolution-irresistible/</w:t>
        </w:r>
      </w:hyperlink>
      <w:r>
        <w:rPr>
          <w:sz w:val="22"/>
          <w:szCs w:val="22"/>
        </w:rPr>
        <w:t>.</w:t>
      </w:r>
    </w:p>
    <w:p w14:paraId="7C4708B0" w14:textId="77777777" w:rsidR="000B172D" w:rsidRDefault="000B172D" w:rsidP="000B172D">
      <w:pPr>
        <w:spacing w:after="0" w:line="480" w:lineRule="auto"/>
        <w:ind w:firstLine="0"/>
      </w:pPr>
      <w:r>
        <w:t>Braun, V., &amp; Clarke, V. (2021). To Saturate or Not to Saturate? Questioning Data</w:t>
      </w:r>
    </w:p>
    <w:p w14:paraId="4C254704" w14:textId="77777777" w:rsidR="000B172D" w:rsidRDefault="000B172D" w:rsidP="000B172D">
      <w:pPr>
        <w:spacing w:after="0" w:line="480" w:lineRule="auto"/>
        <w:ind w:left="720" w:firstLine="0"/>
      </w:pPr>
      <w:r>
        <w:t xml:space="preserve">Saturation as a Useful Concept for Thematic Analysis and Sample-Size Rationales. </w:t>
      </w:r>
      <w:r>
        <w:rPr>
          <w:i/>
          <w:iCs/>
        </w:rPr>
        <w:t>Qualitative Research in Sport, Exercise and Health</w:t>
      </w:r>
      <w:r>
        <w:t xml:space="preserve"> 13(2), 201–216.  </w:t>
      </w:r>
    </w:p>
    <w:p w14:paraId="4D2240B0" w14:textId="77777777" w:rsidR="000B172D" w:rsidRDefault="000B172D" w:rsidP="000B172D">
      <w:pPr>
        <w:spacing w:after="0" w:line="480" w:lineRule="auto"/>
        <w:ind w:left="720" w:firstLine="0"/>
      </w:pPr>
      <w:r w:rsidRPr="00B24A3E">
        <w:t>https://doi.org/10.1080/2159676X.2019.1704846</w:t>
      </w:r>
    </w:p>
    <w:p w14:paraId="361890C8" w14:textId="77777777" w:rsidR="000B172D" w:rsidRDefault="000B172D" w:rsidP="000B172D">
      <w:pPr>
        <w:spacing w:after="0" w:line="480" w:lineRule="auto"/>
        <w:ind w:firstLine="0"/>
      </w:pPr>
      <w:r>
        <w:t xml:space="preserve">Braun V., &amp; Clarke V. (2022). </w:t>
      </w:r>
      <w:r>
        <w:rPr>
          <w:i/>
          <w:iCs/>
        </w:rPr>
        <w:t>Thematic analysis: A practical guide</w:t>
      </w:r>
      <w:r>
        <w:t>. SAGE</w:t>
      </w:r>
    </w:p>
    <w:p w14:paraId="67771142" w14:textId="77777777" w:rsidR="000B172D" w:rsidRDefault="000B172D" w:rsidP="000B172D">
      <w:pPr>
        <w:spacing w:after="0" w:line="480" w:lineRule="auto"/>
        <w:ind w:firstLine="0"/>
        <w:rPr>
          <w:i/>
          <w:iCs/>
        </w:rPr>
      </w:pPr>
      <w:r>
        <w:t xml:space="preserve"> Canada Council for the Arts. (2019). </w:t>
      </w:r>
      <w:r>
        <w:rPr>
          <w:i/>
          <w:iCs/>
        </w:rPr>
        <w:t>Expanding the arts II: Deaf and disability expression</w:t>
      </w:r>
    </w:p>
    <w:p w14:paraId="5DDE118D" w14:textId="77777777" w:rsidR="000B172D" w:rsidRDefault="000B172D" w:rsidP="000B172D">
      <w:pPr>
        <w:spacing w:after="0" w:line="480" w:lineRule="auto"/>
      </w:pPr>
      <w:r>
        <w:rPr>
          <w:i/>
          <w:iCs/>
        </w:rPr>
        <w:t>and engagement strategy</w:t>
      </w:r>
      <w:r>
        <w:t>. Canada Council for the Arts.</w:t>
      </w:r>
    </w:p>
    <w:p w14:paraId="2B5442BD" w14:textId="77777777" w:rsidR="000B172D" w:rsidRDefault="000B172D" w:rsidP="000B172D">
      <w:pPr>
        <w:spacing w:after="0" w:line="480" w:lineRule="auto"/>
        <w:ind w:firstLine="0"/>
      </w:pPr>
      <w:r>
        <w:t xml:space="preserve">Chandler, E. (2017). Reflections on </w:t>
      </w:r>
      <w:proofErr w:type="spellStart"/>
      <w:r>
        <w:t>cripping</w:t>
      </w:r>
      <w:proofErr w:type="spellEnd"/>
      <w:r>
        <w:t xml:space="preserve"> the arts in Canada. </w:t>
      </w:r>
      <w:r>
        <w:rPr>
          <w:i/>
          <w:iCs/>
        </w:rPr>
        <w:t>Art Journal, 76</w:t>
      </w:r>
      <w:r>
        <w:t>(3–4), 56–59.</w:t>
      </w:r>
    </w:p>
    <w:p w14:paraId="5A911171" w14:textId="77777777" w:rsidR="000B172D" w:rsidRDefault="000B172D" w:rsidP="000B172D">
      <w:pPr>
        <w:spacing w:after="0" w:line="480" w:lineRule="auto"/>
      </w:pPr>
      <w:r>
        <w:t>https://doi.org/10.1080/00043249.2017.1418484</w:t>
      </w:r>
    </w:p>
    <w:p w14:paraId="0A571284" w14:textId="77777777" w:rsidR="000B172D" w:rsidRDefault="000B172D" w:rsidP="000B172D">
      <w:pPr>
        <w:spacing w:after="0" w:line="480" w:lineRule="auto"/>
        <w:ind w:firstLine="0"/>
        <w:rPr>
          <w:i/>
          <w:iCs/>
        </w:rPr>
      </w:pPr>
      <w:r>
        <w:t xml:space="preserve">Chandler, E. (2018). Disability art and re-worlding possibilities. </w:t>
      </w:r>
      <w:r>
        <w:rPr>
          <w:i/>
          <w:iCs/>
        </w:rPr>
        <w:t>a/b: Auto/Biography Studies,</w:t>
      </w:r>
    </w:p>
    <w:p w14:paraId="496E0C19" w14:textId="77777777" w:rsidR="000B172D" w:rsidRDefault="000B172D" w:rsidP="000B172D">
      <w:pPr>
        <w:spacing w:after="0" w:line="480" w:lineRule="auto"/>
      </w:pPr>
      <w:r>
        <w:rPr>
          <w:i/>
          <w:iCs/>
        </w:rPr>
        <w:t>33</w:t>
      </w:r>
      <w:r>
        <w:t>(2), 458–463. https://doi.org/10.1080/08989575.2018.1445599</w:t>
      </w:r>
    </w:p>
    <w:p w14:paraId="1DD2F320" w14:textId="77777777" w:rsidR="000B172D" w:rsidRDefault="000B172D" w:rsidP="000B172D">
      <w:pPr>
        <w:spacing w:after="0" w:line="480" w:lineRule="auto"/>
        <w:ind w:firstLine="0"/>
      </w:pPr>
      <w:r>
        <w:t xml:space="preserve">Chandler, E., </w:t>
      </w:r>
      <w:proofErr w:type="spellStart"/>
      <w:r>
        <w:t>Aubrecht</w:t>
      </w:r>
      <w:proofErr w:type="spellEnd"/>
      <w:r>
        <w:t xml:space="preserve">, K., </w:t>
      </w:r>
      <w:proofErr w:type="spellStart"/>
      <w:r>
        <w:t>Ignagni</w:t>
      </w:r>
      <w:proofErr w:type="spellEnd"/>
      <w:r>
        <w:t xml:space="preserve">, E., &amp; Rice, C. (2021). </w:t>
      </w:r>
      <w:proofErr w:type="spellStart"/>
      <w:r>
        <w:t>Cripistemologies</w:t>
      </w:r>
      <w:proofErr w:type="spellEnd"/>
      <w:r>
        <w:t xml:space="preserve"> of disability arts</w:t>
      </w:r>
    </w:p>
    <w:p w14:paraId="40C5D683" w14:textId="77777777" w:rsidR="000B172D" w:rsidRDefault="000B172D" w:rsidP="000B172D">
      <w:pPr>
        <w:spacing w:after="0" w:line="480" w:lineRule="auto"/>
        <w:ind w:left="720" w:firstLine="0"/>
      </w:pPr>
      <w:r>
        <w:t xml:space="preserve">and culture: Reflections on the </w:t>
      </w:r>
      <w:proofErr w:type="spellStart"/>
      <w:r>
        <w:t>Cripping</w:t>
      </w:r>
      <w:proofErr w:type="spellEnd"/>
      <w:r>
        <w:t xml:space="preserve"> the Arts Symposium (Editors’ introduction). </w:t>
      </w:r>
      <w:r>
        <w:rPr>
          <w:i/>
          <w:iCs/>
        </w:rPr>
        <w:t>Studies in Social Justice, 15</w:t>
      </w:r>
      <w:r>
        <w:t xml:space="preserve">(2), 170–179. https://doi.org/10.26522/ssj.v15i2.2429 </w:t>
      </w:r>
    </w:p>
    <w:p w14:paraId="00C328CD" w14:textId="77777777" w:rsidR="000B172D" w:rsidRDefault="000B172D" w:rsidP="000B172D">
      <w:pPr>
        <w:spacing w:after="0" w:line="480" w:lineRule="auto"/>
        <w:ind w:firstLine="0"/>
      </w:pPr>
      <w:r>
        <w:t xml:space="preserve">Clare, E. (2017). The Ferocious Need for Liberation. </w:t>
      </w:r>
      <w:r>
        <w:rPr>
          <w:i/>
          <w:iCs/>
        </w:rPr>
        <w:t>Disability Studies Quarterly.</w:t>
      </w:r>
      <w:r>
        <w:t xml:space="preserve"> 37(3)</w:t>
      </w:r>
    </w:p>
    <w:p w14:paraId="5A00DF58" w14:textId="77777777" w:rsidR="000B172D" w:rsidRDefault="000B172D" w:rsidP="000B172D">
      <w:pPr>
        <w:spacing w:after="0" w:line="480" w:lineRule="auto"/>
      </w:pPr>
      <w:hyperlink r:id="rId56">
        <w:r>
          <w:rPr>
            <w:color w:val="1155CC"/>
            <w:u w:val="single"/>
          </w:rPr>
          <w:t>https://dsq-sds.org/index.php/dsq/article/view/5972/4698</w:t>
        </w:r>
      </w:hyperlink>
      <w:r>
        <w:t xml:space="preserve"> </w:t>
      </w:r>
    </w:p>
    <w:p w14:paraId="6E850683" w14:textId="77777777" w:rsidR="000B172D" w:rsidRDefault="000B172D" w:rsidP="000B172D">
      <w:pPr>
        <w:spacing w:after="0" w:line="480" w:lineRule="auto"/>
        <w:ind w:firstLine="0"/>
      </w:pPr>
      <w:r>
        <w:t>Collins, K., Jones, C. T., &amp; Rice, C. (2023). On heartbreak, livelihoods and art: Affect and</w:t>
      </w:r>
    </w:p>
    <w:p w14:paraId="0057C934" w14:textId="77777777" w:rsidR="000B172D" w:rsidRDefault="000B172D" w:rsidP="000B172D">
      <w:pPr>
        <w:spacing w:after="0" w:line="480" w:lineRule="auto"/>
        <w:ind w:left="720" w:firstLine="0"/>
      </w:pPr>
      <w:r>
        <w:t xml:space="preserve">crip desire in art making assemblages. </w:t>
      </w:r>
      <w:proofErr w:type="spellStart"/>
      <w:r>
        <w:rPr>
          <w:i/>
          <w:iCs/>
        </w:rPr>
        <w:t>Distinktion</w:t>
      </w:r>
      <w:proofErr w:type="spellEnd"/>
      <w:r>
        <w:rPr>
          <w:i/>
          <w:iCs/>
        </w:rPr>
        <w:t>: Journal of Social Theory</w:t>
      </w:r>
      <w:r>
        <w:t xml:space="preserve">, 1–18. </w:t>
      </w:r>
      <w:hyperlink r:id="rId57">
        <w:r>
          <w:rPr>
            <w:color w:val="1155CC"/>
            <w:u w:val="single"/>
          </w:rPr>
          <w:t>https://doi.org/10.1080/1600910X.2023.2250926</w:t>
        </w:r>
      </w:hyperlink>
    </w:p>
    <w:p w14:paraId="42CE7BE0" w14:textId="77777777" w:rsidR="000B172D" w:rsidRDefault="000B172D" w:rsidP="000B172D">
      <w:pPr>
        <w:spacing w:after="0" w:line="480" w:lineRule="auto"/>
        <w:ind w:firstLine="0"/>
      </w:pPr>
      <w:r>
        <w:lastRenderedPageBreak/>
        <w:t xml:space="preserve">Davenport, E. (2019). </w:t>
      </w:r>
      <w:proofErr w:type="spellStart"/>
      <w:r>
        <w:t>Rainclamation</w:t>
      </w:r>
      <w:proofErr w:type="spellEnd"/>
      <w:r>
        <w:t>: How installation art can reclaim space, transform</w:t>
      </w:r>
    </w:p>
    <w:p w14:paraId="06730BC2" w14:textId="77777777" w:rsidR="000B172D" w:rsidRDefault="000B172D" w:rsidP="000B172D">
      <w:pPr>
        <w:spacing w:after="0" w:line="480" w:lineRule="auto"/>
        <w:ind w:left="720" w:firstLine="0"/>
      </w:pPr>
      <w:r>
        <w:t xml:space="preserve">collective suffering into poetic resistance and bring aesthetics to disabled viewers. In M. </w:t>
      </w:r>
      <w:proofErr w:type="spellStart"/>
      <w:r>
        <w:t>Berghs</w:t>
      </w:r>
      <w:proofErr w:type="spellEnd"/>
      <w:r>
        <w:t xml:space="preserve">, T. </w:t>
      </w:r>
      <w:proofErr w:type="spellStart"/>
      <w:r>
        <w:t>Chataika</w:t>
      </w:r>
      <w:proofErr w:type="spellEnd"/>
      <w:r>
        <w:t>, Y. El-</w:t>
      </w:r>
      <w:proofErr w:type="spellStart"/>
      <w:r>
        <w:t>Lahib</w:t>
      </w:r>
      <w:proofErr w:type="spellEnd"/>
      <w:r>
        <w:t xml:space="preserve">, &amp; K. Dube (Eds.), </w:t>
      </w:r>
      <w:r>
        <w:rPr>
          <w:i/>
          <w:iCs/>
        </w:rPr>
        <w:t>The Routledge handbook of disability activism</w:t>
      </w:r>
      <w:r>
        <w:t xml:space="preserve"> (pp. 330–338). Routledge.</w:t>
      </w:r>
    </w:p>
    <w:p w14:paraId="0696C901" w14:textId="77777777" w:rsidR="000B172D" w:rsidRDefault="000B172D" w:rsidP="000B172D">
      <w:pPr>
        <w:spacing w:after="0" w:line="480" w:lineRule="auto"/>
        <w:ind w:firstLine="0"/>
        <w:rPr>
          <w:i/>
          <w:iCs/>
        </w:rPr>
      </w:pPr>
      <w:proofErr w:type="spellStart"/>
      <w:r>
        <w:t>Decottignies</w:t>
      </w:r>
      <w:proofErr w:type="spellEnd"/>
      <w:r>
        <w:t xml:space="preserve">, M. (2016). Disability arts and equity in Canada. </w:t>
      </w:r>
      <w:r>
        <w:rPr>
          <w:i/>
          <w:iCs/>
        </w:rPr>
        <w:t>Canadian Theatre Review,</w:t>
      </w:r>
    </w:p>
    <w:p w14:paraId="61A9CF54" w14:textId="77777777" w:rsidR="000B172D" w:rsidRDefault="000B172D" w:rsidP="000B172D">
      <w:pPr>
        <w:spacing w:after="0" w:line="480" w:lineRule="auto"/>
      </w:pPr>
      <w:r>
        <w:rPr>
          <w:i/>
          <w:iCs/>
        </w:rPr>
        <w:t>165</w:t>
      </w:r>
      <w:r>
        <w:t xml:space="preserve">(165), 43–47. </w:t>
      </w:r>
      <w:hyperlink r:id="rId58">
        <w:r>
          <w:rPr>
            <w:color w:val="1155CC"/>
            <w:u w:val="single"/>
          </w:rPr>
          <w:t>https://www.muse.jhu.edu/article/609616</w:t>
        </w:r>
      </w:hyperlink>
      <w:r>
        <w:t xml:space="preserve"> </w:t>
      </w:r>
    </w:p>
    <w:p w14:paraId="4A83AA8C" w14:textId="77777777" w:rsidR="000B172D" w:rsidRDefault="000B172D" w:rsidP="000B172D">
      <w:pPr>
        <w:spacing w:after="0" w:line="480" w:lineRule="auto"/>
        <w:ind w:firstLine="0"/>
      </w:pPr>
      <w:r>
        <w:t xml:space="preserve">Duncan, C. (1995). </w:t>
      </w:r>
      <w:r>
        <w:rPr>
          <w:i/>
          <w:iCs/>
        </w:rPr>
        <w:t>Civilizing rituals: Inside public art museums</w:t>
      </w:r>
      <w:r>
        <w:t xml:space="preserve">. Routledge. </w:t>
      </w:r>
    </w:p>
    <w:p w14:paraId="38329F51" w14:textId="77777777" w:rsidR="000B172D" w:rsidRDefault="000B172D" w:rsidP="000B172D">
      <w:pPr>
        <w:spacing w:after="0" w:line="480" w:lineRule="auto"/>
        <w:ind w:firstLine="0"/>
      </w:pPr>
      <w:r>
        <w:t>Dumont, M. (2020, November 25). On tokenization, funding and being an Indigenous artist</w:t>
      </w:r>
    </w:p>
    <w:p w14:paraId="0916B3D5" w14:textId="77777777" w:rsidR="000B172D" w:rsidRDefault="000B172D" w:rsidP="000B172D">
      <w:pPr>
        <w:spacing w:after="0" w:line="480" w:lineRule="auto"/>
      </w:pPr>
      <w:r>
        <w:t xml:space="preserve">who is differently abled. </w:t>
      </w:r>
      <w:r>
        <w:rPr>
          <w:i/>
          <w:iCs/>
        </w:rPr>
        <w:t>Canadian Art</w:t>
      </w:r>
      <w:r>
        <w:t>.</w:t>
      </w:r>
    </w:p>
    <w:p w14:paraId="46FD97D8" w14:textId="77777777" w:rsidR="000B172D" w:rsidRDefault="000B172D" w:rsidP="000B172D">
      <w:pPr>
        <w:spacing w:after="0" w:line="480" w:lineRule="auto"/>
        <w:ind w:left="720" w:firstLine="0"/>
        <w:rPr>
          <w:color w:val="1155CC"/>
          <w:u w:val="single"/>
        </w:rPr>
      </w:pPr>
      <w:hyperlink r:id="rId59">
        <w:r>
          <w:rPr>
            <w:color w:val="1155CC"/>
            <w:u w:val="single"/>
          </w:rPr>
          <w:t>https://canadianart.ca/essays/on-tokenization-funding-and-being-an-indigenous-artist-who-is-differently-abled/</w:t>
        </w:r>
      </w:hyperlink>
    </w:p>
    <w:p w14:paraId="09B70C6B" w14:textId="77777777" w:rsidR="000B172D" w:rsidRDefault="000B172D" w:rsidP="000B172D">
      <w:pPr>
        <w:spacing w:after="0" w:line="480" w:lineRule="auto"/>
        <w:ind w:firstLine="0"/>
        <w:rPr>
          <w:i/>
          <w:iCs/>
        </w:rPr>
      </w:pPr>
      <w:r>
        <w:t xml:space="preserve"> Fernandes, S., Navia, D., &amp; </w:t>
      </w:r>
      <w:proofErr w:type="spellStart"/>
      <w:r>
        <w:t>Rouholamini</w:t>
      </w:r>
      <w:proofErr w:type="spellEnd"/>
      <w:r>
        <w:t xml:space="preserve">, M. (2023). </w:t>
      </w:r>
      <w:r>
        <w:rPr>
          <w:i/>
          <w:iCs/>
        </w:rPr>
        <w:t>Environmental scan of access</w:t>
      </w:r>
    </w:p>
    <w:p w14:paraId="4E641B45" w14:textId="77777777" w:rsidR="000B172D" w:rsidRDefault="000B172D" w:rsidP="000B172D">
      <w:pPr>
        <w:spacing w:after="0" w:line="480" w:lineRule="auto"/>
      </w:pPr>
      <w:r>
        <w:rPr>
          <w:i/>
          <w:iCs/>
        </w:rPr>
        <w:t>practices in arts funding</w:t>
      </w:r>
      <w:r>
        <w:t>. Canada Council for the Arts.</w:t>
      </w:r>
    </w:p>
    <w:p w14:paraId="7176FAF5" w14:textId="77777777" w:rsidR="000B172D" w:rsidRDefault="000B172D" w:rsidP="000B172D">
      <w:pPr>
        <w:spacing w:after="0" w:line="480" w:lineRule="auto"/>
        <w:ind w:firstLine="0"/>
      </w:pPr>
      <w:proofErr w:type="spellStart"/>
      <w:r>
        <w:t>Grue</w:t>
      </w:r>
      <w:proofErr w:type="spellEnd"/>
      <w:r>
        <w:t xml:space="preserve">, J. (2016). </w:t>
      </w:r>
      <w:r>
        <w:rPr>
          <w:i/>
          <w:iCs/>
        </w:rPr>
        <w:t>Disability and discourse analysis</w:t>
      </w:r>
      <w:r>
        <w:t>. Routledge.</w:t>
      </w:r>
    </w:p>
    <w:p w14:paraId="7C86817C" w14:textId="77777777" w:rsidR="000B172D" w:rsidRDefault="000B172D" w:rsidP="000B172D">
      <w:pPr>
        <w:spacing w:after="0" w:line="480" w:lineRule="auto"/>
        <w:ind w:firstLine="0"/>
        <w:rPr>
          <w:i/>
          <w:iCs/>
        </w:rPr>
      </w:pPr>
      <w:r>
        <w:t xml:space="preserve"> Jacobson, R., &amp; </w:t>
      </w:r>
      <w:proofErr w:type="spellStart"/>
      <w:r>
        <w:t>McMurchy</w:t>
      </w:r>
      <w:proofErr w:type="spellEnd"/>
      <w:r>
        <w:t xml:space="preserve">, G. (2010). </w:t>
      </w:r>
      <w:r>
        <w:rPr>
          <w:i/>
          <w:iCs/>
        </w:rPr>
        <w:t>Focus on disability and Deaf arts in Canada: A</w:t>
      </w:r>
    </w:p>
    <w:p w14:paraId="4F22753F" w14:textId="77777777" w:rsidR="000B172D" w:rsidRDefault="000B172D" w:rsidP="000B172D">
      <w:pPr>
        <w:spacing w:after="0" w:line="480" w:lineRule="auto"/>
      </w:pPr>
      <w:r>
        <w:rPr>
          <w:i/>
          <w:iCs/>
        </w:rPr>
        <w:t>report from the field</w:t>
      </w:r>
      <w:r>
        <w:t>. Canada Council for the Arts.</w:t>
      </w:r>
    </w:p>
    <w:p w14:paraId="77F8CDD2" w14:textId="77777777" w:rsidR="000B172D" w:rsidRDefault="000B172D" w:rsidP="000B172D">
      <w:pPr>
        <w:spacing w:after="0" w:line="480" w:lineRule="auto"/>
        <w:ind w:firstLine="0"/>
      </w:pPr>
      <w:r>
        <w:t xml:space="preserve">Kafai, S. (2021). </w:t>
      </w:r>
      <w:r>
        <w:rPr>
          <w:i/>
          <w:iCs/>
        </w:rPr>
        <w:t>Crip kinship</w:t>
      </w:r>
      <w:r>
        <w:t>. Arsenal Pulp Press.</w:t>
      </w:r>
    </w:p>
    <w:p w14:paraId="1EFCECA0" w14:textId="77777777" w:rsidR="000B172D" w:rsidRDefault="000B172D" w:rsidP="000B172D">
      <w:pPr>
        <w:spacing w:after="0" w:line="480" w:lineRule="auto"/>
        <w:ind w:firstLine="0"/>
      </w:pPr>
      <w:proofErr w:type="spellStart"/>
      <w:r>
        <w:t>Kafer</w:t>
      </w:r>
      <w:proofErr w:type="spellEnd"/>
      <w:r>
        <w:t xml:space="preserve">, A. (2013). </w:t>
      </w:r>
      <w:r>
        <w:rPr>
          <w:i/>
          <w:iCs/>
        </w:rPr>
        <w:t>Feminist, queer, crip</w:t>
      </w:r>
      <w:r>
        <w:t>. Indiana University Press.</w:t>
      </w:r>
    </w:p>
    <w:p w14:paraId="680E68D9" w14:textId="77777777" w:rsidR="000B172D" w:rsidRDefault="000B172D" w:rsidP="000B172D">
      <w:pPr>
        <w:spacing w:after="0" w:line="480" w:lineRule="auto"/>
        <w:ind w:firstLine="0"/>
      </w:pPr>
      <w:r>
        <w:t>Kelly, C., &amp; Orsini, M. (2016). Introduction: Mobilizing metaphor. In C. Kelly &amp; M. Orsini</w:t>
      </w:r>
    </w:p>
    <w:p w14:paraId="0BD94BEA" w14:textId="77777777" w:rsidR="000B172D" w:rsidRDefault="000B172D" w:rsidP="000B172D">
      <w:pPr>
        <w:spacing w:after="0" w:line="480" w:lineRule="auto"/>
        <w:ind w:left="720" w:firstLine="0"/>
      </w:pPr>
      <w:r>
        <w:t xml:space="preserve">(Eds.), </w:t>
      </w:r>
      <w:r>
        <w:rPr>
          <w:i/>
          <w:iCs/>
        </w:rPr>
        <w:t>Mobilizing metaphor: Art, culture, and disability activism in Canada</w:t>
      </w:r>
      <w:r>
        <w:t xml:space="preserve"> (pp. 3–21). UBC Press.</w:t>
      </w:r>
    </w:p>
    <w:p w14:paraId="2A4205E2" w14:textId="77777777" w:rsidR="000B172D" w:rsidRDefault="000B172D" w:rsidP="000B172D">
      <w:pPr>
        <w:spacing w:after="0" w:line="480" w:lineRule="auto"/>
        <w:ind w:firstLine="0"/>
      </w:pPr>
      <w:r>
        <w:t xml:space="preserve">Leduc, V., </w:t>
      </w:r>
      <w:proofErr w:type="spellStart"/>
      <w:r>
        <w:t>Boukala</w:t>
      </w:r>
      <w:proofErr w:type="spellEnd"/>
      <w:r>
        <w:t xml:space="preserve">, M., Rouleau, J., Louw, A., </w:t>
      </w:r>
      <w:proofErr w:type="spellStart"/>
      <w:r>
        <w:t>McAskill</w:t>
      </w:r>
      <w:proofErr w:type="spellEnd"/>
      <w:r>
        <w:t xml:space="preserve">, A., </w:t>
      </w:r>
      <w:proofErr w:type="spellStart"/>
      <w:r>
        <w:t>Théroux</w:t>
      </w:r>
      <w:proofErr w:type="spellEnd"/>
      <w:r>
        <w:t xml:space="preserve">, C., </w:t>
      </w:r>
      <w:proofErr w:type="spellStart"/>
      <w:r>
        <w:t>Heussaff</w:t>
      </w:r>
      <w:proofErr w:type="spellEnd"/>
      <w:r>
        <w:t>, S.,</w:t>
      </w:r>
    </w:p>
    <w:p w14:paraId="41E87995" w14:textId="77777777" w:rsidR="000B172D" w:rsidRDefault="000B172D" w:rsidP="000B172D">
      <w:pPr>
        <w:spacing w:after="0" w:line="480" w:lineRule="auto"/>
        <w:ind w:left="720" w:firstLine="0"/>
      </w:pPr>
      <w:r>
        <w:t xml:space="preserve">Grenier, L., Bernier, M., </w:t>
      </w:r>
      <w:proofErr w:type="spellStart"/>
      <w:r>
        <w:t>Bouscatier</w:t>
      </w:r>
      <w:proofErr w:type="spellEnd"/>
      <w:r>
        <w:t xml:space="preserve">, S., </w:t>
      </w:r>
      <w:proofErr w:type="spellStart"/>
      <w:r>
        <w:t>Marcelli</w:t>
      </w:r>
      <w:proofErr w:type="spellEnd"/>
      <w:r>
        <w:t xml:space="preserve">, É., Parent, L., Saunders, D., </w:t>
      </w:r>
      <w:proofErr w:type="spellStart"/>
      <w:r>
        <w:t>Tembeck</w:t>
      </w:r>
      <w:proofErr w:type="spellEnd"/>
      <w:r>
        <w:t xml:space="preserve">, T., </w:t>
      </w:r>
      <w:proofErr w:type="spellStart"/>
      <w:r>
        <w:t>Angrignon</w:t>
      </w:r>
      <w:proofErr w:type="spellEnd"/>
      <w:r>
        <w:t xml:space="preserve">-Girouard, O., &amp; Grimard, C. (2020). </w:t>
      </w:r>
      <w:r>
        <w:rPr>
          <w:i/>
          <w:iCs/>
        </w:rPr>
        <w:t xml:space="preserve">Deaf and disability arts </w:t>
      </w:r>
      <w:r>
        <w:rPr>
          <w:i/>
          <w:iCs/>
        </w:rPr>
        <w:lastRenderedPageBreak/>
        <w:t>practices in Canada</w:t>
      </w:r>
      <w:r>
        <w:t>. Canada Council for the Arts.</w:t>
      </w:r>
    </w:p>
    <w:p w14:paraId="0E8D11BD" w14:textId="77777777" w:rsidR="000B172D" w:rsidRDefault="000B172D" w:rsidP="000B172D">
      <w:pPr>
        <w:spacing w:after="0" w:line="480" w:lineRule="auto"/>
        <w:ind w:firstLine="0"/>
      </w:pPr>
      <w:r>
        <w:t xml:space="preserve">Lee, S. (n.d.). Crip horizons: Disability art futurism by Sean Lee. </w:t>
      </w:r>
      <w:r>
        <w:rPr>
          <w:i/>
          <w:iCs/>
        </w:rPr>
        <w:t>Akimbo</w:t>
      </w:r>
      <w:r>
        <w:t>.</w:t>
      </w:r>
    </w:p>
    <w:p w14:paraId="54EE3382" w14:textId="77777777" w:rsidR="000B172D" w:rsidRDefault="000B172D" w:rsidP="000B172D">
      <w:pPr>
        <w:spacing w:after="0" w:line="480" w:lineRule="auto"/>
        <w:rPr>
          <w:color w:val="1155CC"/>
          <w:u w:val="single"/>
        </w:rPr>
      </w:pPr>
      <w:hyperlink r:id="rId60">
        <w:r>
          <w:rPr>
            <w:color w:val="1155CC"/>
            <w:u w:val="single"/>
          </w:rPr>
          <w:t>https://akimbo.ca/akimblog/crip-horizons-disability-art-futurism-by-sean-lee/</w:t>
        </w:r>
      </w:hyperlink>
    </w:p>
    <w:p w14:paraId="513AF6BD" w14:textId="77777777" w:rsidR="000B172D" w:rsidRDefault="000B172D" w:rsidP="000B172D">
      <w:pPr>
        <w:spacing w:after="0" w:line="480" w:lineRule="auto"/>
        <w:ind w:firstLine="0"/>
      </w:pPr>
      <w:r>
        <w:t xml:space="preserve"> Nelson, K. (2016). Deaf and disability arts: Insiders, outsiders, and the potential of</w:t>
      </w:r>
    </w:p>
    <w:p w14:paraId="5E189BCE" w14:textId="77777777" w:rsidR="000B172D" w:rsidRDefault="000B172D" w:rsidP="000B172D">
      <w:pPr>
        <w:spacing w:after="0" w:line="480" w:lineRule="auto"/>
        <w:ind w:left="720" w:firstLine="0"/>
      </w:pPr>
      <w:r>
        <w:t xml:space="preserve">progressive studios. In C. Kelly &amp; M. Orsini (Eds.), </w:t>
      </w:r>
      <w:r>
        <w:rPr>
          <w:i/>
          <w:iCs/>
        </w:rPr>
        <w:t>Mobilizing metaphor: Art, culture, and disability activism in Canada</w:t>
      </w:r>
      <w:r>
        <w:t xml:space="preserve"> (pp. 98–117). UBC Press.</w:t>
      </w:r>
    </w:p>
    <w:p w14:paraId="711E244B" w14:textId="77777777" w:rsidR="000B172D" w:rsidRDefault="000B172D" w:rsidP="000B172D">
      <w:pPr>
        <w:spacing w:after="0" w:line="480" w:lineRule="auto"/>
        <w:ind w:firstLine="0"/>
      </w:pPr>
      <w:r>
        <w:t xml:space="preserve"> Nishida, A. (2022). </w:t>
      </w:r>
      <w:r>
        <w:rPr>
          <w:i/>
          <w:iCs/>
        </w:rPr>
        <w:t xml:space="preserve">Just care: </w:t>
      </w:r>
      <w:proofErr w:type="gramStart"/>
      <w:r>
        <w:rPr>
          <w:i/>
          <w:iCs/>
        </w:rPr>
        <w:t>Messy</w:t>
      </w:r>
      <w:proofErr w:type="gramEnd"/>
      <w:r>
        <w:rPr>
          <w:i/>
          <w:iCs/>
        </w:rPr>
        <w:t xml:space="preserve"> entanglements of disability, dependency, and desire</w:t>
      </w:r>
      <w:r>
        <w:t>.</w:t>
      </w:r>
    </w:p>
    <w:p w14:paraId="2C63581E" w14:textId="77777777" w:rsidR="000B172D" w:rsidRDefault="000B172D" w:rsidP="000B172D">
      <w:pPr>
        <w:spacing w:after="0" w:line="480" w:lineRule="auto"/>
      </w:pPr>
      <w:r>
        <w:t xml:space="preserve">Temple University Press. </w:t>
      </w:r>
    </w:p>
    <w:p w14:paraId="7A384EF0" w14:textId="77777777" w:rsidR="000B172D" w:rsidRDefault="000B172D" w:rsidP="000B172D">
      <w:pPr>
        <w:spacing w:after="0" w:line="480" w:lineRule="auto"/>
        <w:ind w:firstLine="0"/>
      </w:pPr>
      <w:r>
        <w:t xml:space="preserve">Piepzna-Samarasinha, L. L. (2018). </w:t>
      </w:r>
      <w:r>
        <w:rPr>
          <w:i/>
          <w:iCs/>
        </w:rPr>
        <w:t>Care work: Dreaming disability justice</w:t>
      </w:r>
      <w:r>
        <w:t>. Arsenal Pulp</w:t>
      </w:r>
    </w:p>
    <w:p w14:paraId="5D39376F" w14:textId="77777777" w:rsidR="000B172D" w:rsidRDefault="000B172D" w:rsidP="000B172D">
      <w:pPr>
        <w:spacing w:after="0" w:line="480" w:lineRule="auto"/>
      </w:pPr>
      <w:r>
        <w:t>Press.</w:t>
      </w:r>
    </w:p>
    <w:p w14:paraId="77108CE4" w14:textId="77777777" w:rsidR="000B172D" w:rsidRDefault="000B172D" w:rsidP="000B172D">
      <w:pPr>
        <w:spacing w:after="0" w:line="480" w:lineRule="auto"/>
        <w:ind w:firstLine="0"/>
        <w:rPr>
          <w:i/>
          <w:iCs/>
        </w:rPr>
      </w:pPr>
      <w:r>
        <w:t xml:space="preserve"> Piepzna-Samarasinha, L. L. (2022). </w:t>
      </w:r>
      <w:r>
        <w:rPr>
          <w:i/>
          <w:iCs/>
        </w:rPr>
        <w:t>The future is disabled: Prophecies, love notes and</w:t>
      </w:r>
    </w:p>
    <w:p w14:paraId="50F9F26D" w14:textId="77777777" w:rsidR="000B172D" w:rsidRDefault="000B172D" w:rsidP="000B172D">
      <w:pPr>
        <w:spacing w:after="0" w:line="480" w:lineRule="auto"/>
      </w:pPr>
      <w:r>
        <w:rPr>
          <w:i/>
          <w:iCs/>
        </w:rPr>
        <w:t>mourning songs</w:t>
      </w:r>
      <w:r>
        <w:t>. Arsenal Pulp Press.</w:t>
      </w:r>
    </w:p>
    <w:p w14:paraId="1FD61325" w14:textId="77777777" w:rsidR="000B172D" w:rsidRDefault="000B172D" w:rsidP="000B172D">
      <w:pPr>
        <w:spacing w:after="0" w:line="480" w:lineRule="auto"/>
        <w:ind w:firstLine="0"/>
      </w:pPr>
      <w:r>
        <w:t xml:space="preserve"> Reid, J. (2019). Materializing a mad aesthetic through the making of politicized </w:t>
      </w:r>
      <w:proofErr w:type="spellStart"/>
      <w:r>
        <w:t>fibre</w:t>
      </w:r>
      <w:proofErr w:type="spellEnd"/>
      <w:r>
        <w:t xml:space="preserve"> art</w:t>
      </w:r>
    </w:p>
    <w:p w14:paraId="72A93A38" w14:textId="77777777" w:rsidR="000B172D" w:rsidRDefault="000B172D" w:rsidP="000B172D">
      <w:pPr>
        <w:spacing w:after="0" w:line="480" w:lineRule="auto"/>
      </w:pPr>
      <w:r>
        <w:t>(Doctoral dissertation). York University.</w:t>
      </w:r>
    </w:p>
    <w:p w14:paraId="612B76FE" w14:textId="77777777" w:rsidR="000B172D" w:rsidRDefault="000B172D" w:rsidP="000B172D">
      <w:pPr>
        <w:spacing w:after="0" w:line="480" w:lineRule="auto"/>
        <w:ind w:firstLine="0"/>
      </w:pPr>
      <w:r>
        <w:t xml:space="preserve"> Rose, C. (2022, November 15). BEING Studio’s </w:t>
      </w:r>
      <w:r>
        <w:rPr>
          <w:i/>
          <w:iCs/>
        </w:rPr>
        <w:t>SPEAK</w:t>
      </w:r>
      <w:r>
        <w:t xml:space="preserve"> podcast gives voice to artists with</w:t>
      </w:r>
    </w:p>
    <w:p w14:paraId="5B80E9D4" w14:textId="77777777" w:rsidR="000B172D" w:rsidRDefault="000B172D" w:rsidP="000B172D">
      <w:pPr>
        <w:spacing w:after="0" w:line="480" w:lineRule="auto"/>
        <w:ind w:left="720" w:firstLine="0"/>
        <w:rPr>
          <w:color w:val="1155CC"/>
          <w:u w:val="single"/>
        </w:rPr>
      </w:pPr>
      <w:r>
        <w:t xml:space="preserve">disabilities. </w:t>
      </w:r>
      <w:r>
        <w:rPr>
          <w:i/>
          <w:iCs/>
        </w:rPr>
        <w:t>Apartment613</w:t>
      </w:r>
      <w:r>
        <w:t xml:space="preserve">. </w:t>
      </w:r>
      <w:hyperlink r:id="rId61">
        <w:r>
          <w:rPr>
            <w:color w:val="1155CC"/>
            <w:u w:val="single"/>
          </w:rPr>
          <w:t>https://apt613.ca/being-studios-speak-podcast-gives-voice-to-artists-with-disabilities/</w:t>
        </w:r>
      </w:hyperlink>
    </w:p>
    <w:p w14:paraId="7B975802" w14:textId="77777777" w:rsidR="000B172D" w:rsidRDefault="000B172D" w:rsidP="000B172D">
      <w:pPr>
        <w:spacing w:after="0" w:line="480" w:lineRule="auto"/>
        <w:ind w:firstLine="0"/>
      </w:pPr>
      <w:r>
        <w:t xml:space="preserve"> </w:t>
      </w:r>
      <w:proofErr w:type="spellStart"/>
      <w:r>
        <w:t>sachse</w:t>
      </w:r>
      <w:proofErr w:type="spellEnd"/>
      <w:r>
        <w:t>, j. (2016). Crip the light fantastic: Art as liminal emancipatory practice in the</w:t>
      </w:r>
    </w:p>
    <w:p w14:paraId="78183770" w14:textId="77777777" w:rsidR="000B172D" w:rsidRDefault="000B172D" w:rsidP="000B172D">
      <w:pPr>
        <w:spacing w:after="0" w:line="480" w:lineRule="auto"/>
        <w:ind w:left="720" w:firstLine="0"/>
      </w:pPr>
      <w:r>
        <w:t xml:space="preserve">twenty-first century. In C. Kelly &amp; M. Orsini (Eds.), </w:t>
      </w:r>
      <w:r>
        <w:rPr>
          <w:i/>
          <w:iCs/>
        </w:rPr>
        <w:t>Mobilizing metaphor: Art, culture, and disability activism in Canada</w:t>
      </w:r>
      <w:r>
        <w:t xml:space="preserve"> (pp. 198–205). UBC Press.</w:t>
      </w:r>
    </w:p>
    <w:p w14:paraId="5413C77C" w14:textId="77777777" w:rsidR="000B172D" w:rsidRDefault="000B172D" w:rsidP="000B172D">
      <w:pPr>
        <w:spacing w:after="0" w:line="480" w:lineRule="auto"/>
        <w:ind w:firstLine="0"/>
      </w:pPr>
      <w:r>
        <w:t xml:space="preserve"> Swain, G. (2019). The healing power of art in intergenerational trauma: Race, sex, age and</w:t>
      </w:r>
    </w:p>
    <w:p w14:paraId="15D8CD5F" w14:textId="77777777" w:rsidR="000B172D" w:rsidRDefault="000B172D" w:rsidP="000B172D">
      <w:pPr>
        <w:spacing w:after="0" w:line="480" w:lineRule="auto"/>
        <w:ind w:left="720" w:firstLine="0"/>
        <w:rPr>
          <w:color w:val="1155CC"/>
          <w:u w:val="single"/>
        </w:rPr>
      </w:pPr>
      <w:r>
        <w:t xml:space="preserve">disability. </w:t>
      </w:r>
      <w:r>
        <w:rPr>
          <w:i/>
          <w:iCs/>
        </w:rPr>
        <w:t>Canadian Journal of Disability Studies, 8</w:t>
      </w:r>
      <w:r>
        <w:t xml:space="preserve">(1), 15– 31. </w:t>
      </w:r>
      <w:hyperlink r:id="rId62">
        <w:r>
          <w:rPr>
            <w:color w:val="1155CC"/>
            <w:u w:val="single"/>
          </w:rPr>
          <w:t>https://doi.org/10.15353/cjds.v8i1.469</w:t>
        </w:r>
      </w:hyperlink>
    </w:p>
    <w:p w14:paraId="394B6983" w14:textId="77777777" w:rsidR="000B172D" w:rsidRDefault="000B172D" w:rsidP="000B172D">
      <w:pPr>
        <w:spacing w:after="0" w:line="480" w:lineRule="auto"/>
        <w:ind w:firstLine="0"/>
      </w:pPr>
      <w:r>
        <w:t xml:space="preserve"> Ware, S. M. (2019). The most unwelcoming ‘Outstanding Welcome’: Marginalized</w:t>
      </w:r>
    </w:p>
    <w:p w14:paraId="1D1BA2AE" w14:textId="77777777" w:rsidR="000B172D" w:rsidRDefault="000B172D" w:rsidP="000B172D">
      <w:pPr>
        <w:spacing w:after="0" w:line="480" w:lineRule="auto"/>
        <w:ind w:left="720" w:firstLine="0"/>
      </w:pPr>
      <w:r>
        <w:lastRenderedPageBreak/>
        <w:t xml:space="preserve">communities and museums and contemporary art spaces. </w:t>
      </w:r>
      <w:r>
        <w:rPr>
          <w:i/>
          <w:iCs/>
        </w:rPr>
        <w:t>Canadian Theatre Review, 177</w:t>
      </w:r>
      <w:r>
        <w:t>, 10–13.</w:t>
      </w:r>
    </w:p>
    <w:p w14:paraId="483CA9C1" w14:textId="77777777" w:rsidR="000B172D" w:rsidRDefault="000B172D" w:rsidP="000B172D">
      <w:pPr>
        <w:spacing w:after="0" w:line="480" w:lineRule="auto"/>
        <w:ind w:firstLine="0"/>
        <w:rPr>
          <w:i/>
          <w:iCs/>
        </w:rPr>
      </w:pPr>
      <w:r>
        <w:t xml:space="preserve"> Ware, S. M. (2021). </w:t>
      </w:r>
      <w:r>
        <w:rPr>
          <w:i/>
          <w:iCs/>
        </w:rPr>
        <w:t>Irresistible revolution: Black, trans, and disabled world-making through</w:t>
      </w:r>
    </w:p>
    <w:p w14:paraId="5A4921F6" w14:textId="77777777" w:rsidR="000B172D" w:rsidRDefault="000B172D" w:rsidP="000B172D">
      <w:pPr>
        <w:spacing w:after="0" w:line="480" w:lineRule="auto"/>
      </w:pPr>
      <w:r>
        <w:rPr>
          <w:i/>
          <w:iCs/>
        </w:rPr>
        <w:t xml:space="preserve">activist portraiture </w:t>
      </w:r>
      <w:r>
        <w:t>(Doctoral dissertation). York University.</w:t>
      </w:r>
    </w:p>
    <w:p w14:paraId="42A8B3D5" w14:textId="77777777" w:rsidR="000B172D" w:rsidRDefault="000B172D" w:rsidP="000B172D">
      <w:pPr>
        <w:spacing w:after="0" w:line="480" w:lineRule="auto"/>
        <w:ind w:firstLine="0"/>
      </w:pPr>
      <w:r>
        <w:t xml:space="preserve"> White, J. (2017). Towards a relational aesthetic in disability art: Interdependence and crip</w:t>
      </w:r>
    </w:p>
    <w:p w14:paraId="5D07C792" w14:textId="77777777" w:rsidR="000B172D" w:rsidRDefault="000B172D" w:rsidP="000B172D">
      <w:pPr>
        <w:spacing w:after="0" w:line="480" w:lineRule="auto"/>
        <w:ind w:left="720" w:firstLine="0"/>
      </w:pPr>
      <w:r>
        <w:t xml:space="preserve">futurity. </w:t>
      </w:r>
      <w:r>
        <w:rPr>
          <w:i/>
          <w:iCs/>
        </w:rPr>
        <w:t>Knots: An Undergraduate Journal of Disability Studies, 3</w:t>
      </w:r>
      <w:r>
        <w:t xml:space="preserve">, 133–143. </w:t>
      </w:r>
      <w:hyperlink r:id="rId63">
        <w:r>
          <w:rPr>
            <w:color w:val="1155CC"/>
            <w:u w:val="single"/>
          </w:rPr>
          <w:t>https://journals.scholarsportal.info/details/23686588/v3inone/nfp_taraidaiacf.xml</w:t>
        </w:r>
      </w:hyperlink>
    </w:p>
    <w:p w14:paraId="0E801A0A" w14:textId="77777777" w:rsidR="000B172D" w:rsidRDefault="000B172D" w:rsidP="000B172D">
      <w:pPr>
        <w:spacing w:after="0" w:line="480" w:lineRule="auto"/>
        <w:ind w:firstLine="0"/>
      </w:pPr>
      <w:r>
        <w:t xml:space="preserve">Wong, A. (2022). </w:t>
      </w:r>
      <w:r>
        <w:rPr>
          <w:i/>
          <w:iCs/>
        </w:rPr>
        <w:t>Year of the tiger: An activist's life</w:t>
      </w:r>
      <w:r>
        <w:t>. Vintage Books.</w:t>
      </w:r>
    </w:p>
    <w:p w14:paraId="6373979F" w14:textId="77777777" w:rsidR="000B172D" w:rsidRDefault="000B172D" w:rsidP="000B172D">
      <w:pPr>
        <w:spacing w:after="0" w:line="480" w:lineRule="auto"/>
        <w:ind w:firstLine="0"/>
      </w:pPr>
      <w:proofErr w:type="spellStart"/>
      <w:r>
        <w:t>Wutich</w:t>
      </w:r>
      <w:proofErr w:type="spellEnd"/>
      <w:r>
        <w:t>, A., Beresford, M., &amp; Bernard, H. R. (2024). Sample sizes for 10 types of qualitative</w:t>
      </w:r>
    </w:p>
    <w:p w14:paraId="648C8C1F" w14:textId="77777777" w:rsidR="000B172D" w:rsidRDefault="000B172D" w:rsidP="000B172D">
      <w:pPr>
        <w:spacing w:after="0" w:line="480" w:lineRule="auto"/>
        <w:ind w:left="720" w:firstLine="0"/>
      </w:pPr>
      <w:r>
        <w:t xml:space="preserve">data analysis: An integrative review, empirical guidance, and next steps. </w:t>
      </w:r>
      <w:r>
        <w:rPr>
          <w:i/>
          <w:iCs/>
        </w:rPr>
        <w:t>International Journal of Qualitative Methods, 23</w:t>
      </w:r>
      <w:r>
        <w:t>, 16094069241296206. https://doi.org/10.1177/16094069241296206</w:t>
      </w:r>
    </w:p>
    <w:p w14:paraId="7EE86789" w14:textId="77777777" w:rsidR="000B172D" w:rsidRDefault="000B172D" w:rsidP="000B172D">
      <w:pPr>
        <w:spacing w:after="0" w:line="480" w:lineRule="auto"/>
      </w:pPr>
    </w:p>
    <w:p w14:paraId="34D8F0A6" w14:textId="77777777" w:rsidR="000B172D" w:rsidRDefault="000B172D" w:rsidP="000B172D">
      <w:pPr>
        <w:spacing w:after="0" w:line="480" w:lineRule="auto"/>
      </w:pPr>
    </w:p>
    <w:p w14:paraId="0194F024" w14:textId="77777777" w:rsidR="000B172D" w:rsidRDefault="000B172D" w:rsidP="000B172D">
      <w:pPr>
        <w:pStyle w:val="Heading1"/>
        <w:spacing w:after="0" w:line="480" w:lineRule="auto"/>
      </w:pPr>
    </w:p>
    <w:p w14:paraId="49CD54C4" w14:textId="77777777" w:rsidR="000B172D" w:rsidRDefault="000B172D" w:rsidP="000B172D">
      <w:pPr>
        <w:spacing w:after="0" w:line="480" w:lineRule="auto"/>
        <w:jc w:val="center"/>
        <w:rPr>
          <w:b/>
          <w:bCs/>
        </w:rPr>
      </w:pPr>
    </w:p>
    <w:p w14:paraId="6539CC2D" w14:textId="77777777" w:rsidR="000B172D" w:rsidRDefault="000B172D" w:rsidP="000B172D">
      <w:pPr>
        <w:spacing w:line="480" w:lineRule="auto"/>
        <w:ind w:firstLine="0"/>
      </w:pPr>
    </w:p>
    <w:p w14:paraId="383773A3" w14:textId="77777777" w:rsidR="000B172D" w:rsidRDefault="000B172D" w:rsidP="000B172D">
      <w:pPr>
        <w:spacing w:line="480" w:lineRule="auto"/>
        <w:ind w:firstLine="0"/>
      </w:pPr>
    </w:p>
    <w:p w14:paraId="425C170C" w14:textId="77777777" w:rsidR="000B172D" w:rsidRPr="00D642E8" w:rsidRDefault="000B172D" w:rsidP="000B172D">
      <w:pPr>
        <w:pStyle w:val="Heading1"/>
        <w:jc w:val="left"/>
        <w:rPr>
          <w:b w:val="0"/>
          <w:bCs w:val="0"/>
        </w:rPr>
      </w:pPr>
      <w:r>
        <w:rPr>
          <w:noProof/>
          <w:color w:val="000000"/>
        </w:rPr>
        <w:drawing>
          <wp:inline distT="0" distB="0" distL="0" distR="0" wp14:anchorId="59EF8EBF" wp14:editId="56440A34">
            <wp:extent cx="1016000" cy="186055"/>
            <wp:effectExtent l="0" t="0" r="0" b="0"/>
            <wp:docPr id="603142619"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7"/>
                    <a:srcRect/>
                    <a:stretch>
                      <a:fillRect/>
                    </a:stretch>
                  </pic:blipFill>
                  <pic:spPr>
                    <a:xfrm>
                      <a:off x="0" y="0"/>
                      <a:ext cx="1016000" cy="186055"/>
                    </a:xfrm>
                    <a:prstGeom prst="rect">
                      <a:avLst/>
                    </a:prstGeom>
                    <a:ln/>
                  </pic:spPr>
                </pic:pic>
              </a:graphicData>
            </a:graphic>
          </wp:inline>
        </w:drawing>
      </w:r>
      <w:r>
        <w:rPr>
          <w:color w:val="000000"/>
        </w:rPr>
        <w:t xml:space="preserve"> </w:t>
      </w:r>
      <w:r>
        <w:t xml:space="preserve">Disability Arts as Disability Justice: Racialized Disabled Artists Navigating the Arts in Canada </w:t>
      </w:r>
      <w:r w:rsidRPr="00D642E8">
        <w:rPr>
          <w:b w:val="0"/>
          <w:bCs w:val="0"/>
        </w:rPr>
        <w:t>by</w:t>
      </w:r>
      <w:r>
        <w:rPr>
          <w:b w:val="0"/>
          <w:bCs w:val="0"/>
        </w:rPr>
        <w:t xml:space="preserve"> </w:t>
      </w:r>
      <w:r w:rsidRPr="00D642E8">
        <w:rPr>
          <w:b w:val="0"/>
          <w:bCs w:val="0"/>
        </w:rPr>
        <w:t>Amy Li</w:t>
      </w:r>
      <w:r>
        <w:rPr>
          <w:b w:val="0"/>
          <w:bCs w:val="0"/>
        </w:rPr>
        <w:t xml:space="preserve"> and </w:t>
      </w:r>
      <w:r w:rsidRPr="00D642E8">
        <w:rPr>
          <w:b w:val="0"/>
          <w:bCs w:val="0"/>
        </w:rPr>
        <w:t>Kelly Fritsch</w:t>
      </w:r>
    </w:p>
    <w:p w14:paraId="61ECF13D" w14:textId="77777777" w:rsidR="000B172D" w:rsidRPr="00D642E8" w:rsidRDefault="000B172D" w:rsidP="000B172D">
      <w:pPr>
        <w:pStyle w:val="Heading1"/>
        <w:jc w:val="left"/>
        <w:rPr>
          <w:b w:val="0"/>
          <w:bCs w:val="0"/>
        </w:rPr>
      </w:pPr>
      <w:hyperlink r:id="rId64">
        <w:r w:rsidRPr="00D642E8">
          <w:rPr>
            <w:b w:val="0"/>
            <w:bCs w:val="0"/>
            <w:color w:val="0000FF"/>
            <w:u w:val="single"/>
          </w:rPr>
          <w:t>https://rdsjournal.org/index.php/journal/article/view/</w:t>
        </w:r>
      </w:hyperlink>
      <w:r w:rsidRPr="00D642E8">
        <w:rPr>
          <w:b w:val="0"/>
          <w:bCs w:val="0"/>
          <w:color w:val="0000FF"/>
          <w:u w:val="single"/>
        </w:rPr>
        <w:t>1426</w:t>
      </w:r>
      <w:r w:rsidRPr="00D642E8">
        <w:rPr>
          <w:b w:val="0"/>
          <w:bCs w:val="0"/>
        </w:rPr>
        <w:t xml:space="preserve"> </w:t>
      </w:r>
      <w:r w:rsidRPr="00D642E8">
        <w:rPr>
          <w:b w:val="0"/>
          <w:bCs w:val="0"/>
          <w:color w:val="000000"/>
        </w:rPr>
        <w:t>is licensed under a</w:t>
      </w:r>
      <w:hyperlink r:id="rId65">
        <w:r w:rsidRPr="00D642E8">
          <w:rPr>
            <w:b w:val="0"/>
            <w:bCs w:val="0"/>
            <w:color w:val="3C78D8"/>
            <w:u w:val="single"/>
          </w:rPr>
          <w:t xml:space="preserve"> </w:t>
        </w:r>
      </w:hyperlink>
      <w:hyperlink r:id="rId66">
        <w:r w:rsidRPr="00D642E8">
          <w:rPr>
            <w:b w:val="0"/>
            <w:bCs w:val="0"/>
            <w:color w:val="0000FF"/>
            <w:u w:val="single"/>
          </w:rPr>
          <w:t>Creative Commons Attribution 4.0 International License</w:t>
        </w:r>
      </w:hyperlink>
      <w:r w:rsidRPr="00D642E8">
        <w:rPr>
          <w:b w:val="0"/>
          <w:bCs w:val="0"/>
          <w:color w:val="0000FF"/>
        </w:rPr>
        <w:t xml:space="preserve"> </w:t>
      </w:r>
      <w:r w:rsidRPr="00D642E8">
        <w:rPr>
          <w:b w:val="0"/>
          <w:bCs w:val="0"/>
          <w:color w:val="000000"/>
        </w:rPr>
        <w:t xml:space="preserve">based on a work at </w:t>
      </w:r>
      <w:hyperlink r:id="rId67">
        <w:r w:rsidRPr="00D642E8">
          <w:rPr>
            <w:b w:val="0"/>
            <w:bCs w:val="0"/>
            <w:color w:val="0000FF"/>
            <w:u w:val="single"/>
          </w:rPr>
          <w:t>https://rdsjournal.org</w:t>
        </w:r>
      </w:hyperlink>
      <w:r w:rsidRPr="00D642E8">
        <w:rPr>
          <w:b w:val="0"/>
          <w:bCs w:val="0"/>
          <w:color w:val="000000"/>
        </w:rPr>
        <w:t>.</w:t>
      </w:r>
    </w:p>
    <w:p w14:paraId="32899232" w14:textId="77777777" w:rsidR="004B487C" w:rsidRDefault="00000000">
      <w:pPr>
        <w:spacing w:after="0" w:line="480" w:lineRule="auto"/>
        <w:ind w:firstLine="0"/>
        <w:rPr>
          <w:b/>
          <w:bCs/>
        </w:rPr>
      </w:pPr>
      <w:r>
        <w:rPr>
          <w:b/>
          <w:bCs/>
        </w:rPr>
        <w:t xml:space="preserve"> </w:t>
      </w:r>
    </w:p>
    <w:p w14:paraId="62BA67C5" w14:textId="77777777" w:rsidR="004B487C" w:rsidRDefault="004B487C">
      <w:pPr>
        <w:spacing w:after="0" w:line="480" w:lineRule="auto"/>
        <w:ind w:firstLine="0"/>
        <w:jc w:val="center"/>
        <w:rPr>
          <w:rFonts w:ascii="Arial" w:eastAsia="Arial" w:hAnsi="Arial" w:cs="Arial"/>
          <w:b/>
          <w:bCs/>
        </w:rPr>
      </w:pPr>
    </w:p>
    <w:p w14:paraId="55D914D4" w14:textId="77777777" w:rsidR="00833A20" w:rsidRDefault="00833A20">
      <w:pPr>
        <w:spacing w:after="0" w:line="480" w:lineRule="auto"/>
        <w:ind w:firstLine="0"/>
        <w:jc w:val="center"/>
        <w:rPr>
          <w:rFonts w:ascii="Arial" w:eastAsia="Arial" w:hAnsi="Arial" w:cs="Arial"/>
          <w:b/>
          <w:bCs/>
        </w:rPr>
      </w:pPr>
    </w:p>
    <w:p w14:paraId="242BE814" w14:textId="2553CEA3" w:rsidR="004B487C" w:rsidRDefault="0050376E">
      <w:pPr>
        <w:spacing w:after="0" w:line="480" w:lineRule="auto"/>
        <w:ind w:firstLine="0"/>
        <w:jc w:val="center"/>
        <w:rPr>
          <w:rFonts w:ascii="Arial" w:eastAsia="Arial" w:hAnsi="Arial" w:cs="Arial"/>
          <w:b/>
          <w:bCs/>
        </w:rPr>
      </w:pPr>
      <w:r>
        <w:rPr>
          <w:rFonts w:ascii="Arial" w:eastAsia="Arial" w:hAnsi="Arial" w:cs="Arial"/>
          <w:b/>
          <w:bCs/>
        </w:rPr>
        <w:t>Book Review</w:t>
      </w:r>
    </w:p>
    <w:p w14:paraId="4373163D" w14:textId="77777777" w:rsidR="004B487C" w:rsidRDefault="004B487C">
      <w:pPr>
        <w:spacing w:after="0" w:line="480" w:lineRule="auto"/>
        <w:ind w:firstLine="0"/>
        <w:rPr>
          <w:b/>
          <w:bCs/>
        </w:rPr>
      </w:pPr>
    </w:p>
    <w:p w14:paraId="31290D3C" w14:textId="77777777" w:rsidR="004B487C" w:rsidRDefault="004B487C">
      <w:pPr>
        <w:spacing w:after="0" w:line="480" w:lineRule="auto"/>
        <w:ind w:firstLine="0"/>
        <w:rPr>
          <w:b/>
          <w:bCs/>
        </w:rPr>
      </w:pPr>
    </w:p>
    <w:p w14:paraId="0EED7FEE" w14:textId="77777777" w:rsidR="004B487C" w:rsidRDefault="00000000">
      <w:pPr>
        <w:spacing w:after="0" w:line="480" w:lineRule="auto"/>
        <w:ind w:firstLine="0"/>
        <w:jc w:val="center"/>
        <w:rPr>
          <w:b/>
          <w:bCs/>
        </w:rPr>
      </w:pPr>
      <w:r>
        <w:rPr>
          <w:b/>
          <w:bCs/>
        </w:rPr>
        <w:t>We Were Never the Problem: Reclaiming Disability Through Indigenous Worldviews</w:t>
      </w:r>
    </w:p>
    <w:p w14:paraId="48518BBA" w14:textId="77777777" w:rsidR="004B487C" w:rsidRDefault="00000000">
      <w:pPr>
        <w:spacing w:after="0" w:line="480" w:lineRule="auto"/>
        <w:ind w:firstLine="0"/>
        <w:jc w:val="center"/>
        <w:rPr>
          <w:b/>
          <w:bCs/>
        </w:rPr>
      </w:pPr>
      <w:r>
        <w:rPr>
          <w:b/>
          <w:bCs/>
        </w:rPr>
        <w:t xml:space="preserve">A Review of </w:t>
      </w:r>
      <w:r>
        <w:rPr>
          <w:b/>
          <w:bCs/>
          <w:i/>
          <w:iCs/>
        </w:rPr>
        <w:t>Indigenous Disability Studies</w:t>
      </w:r>
      <w:r>
        <w:rPr>
          <w:b/>
          <w:bCs/>
        </w:rPr>
        <w:t>, edited by John T. Ward</w:t>
      </w:r>
    </w:p>
    <w:p w14:paraId="7B6A363C" w14:textId="77777777" w:rsidR="004B487C" w:rsidRDefault="00000000">
      <w:pPr>
        <w:spacing w:after="0" w:line="480" w:lineRule="auto"/>
        <w:ind w:firstLine="0"/>
        <w:jc w:val="center"/>
        <w:rPr>
          <w:b/>
          <w:bCs/>
        </w:rPr>
      </w:pPr>
      <w:r>
        <w:rPr>
          <w:b/>
          <w:bCs/>
        </w:rPr>
        <w:t xml:space="preserve"> </w:t>
      </w:r>
    </w:p>
    <w:p w14:paraId="34AF8991" w14:textId="77777777" w:rsidR="004B487C" w:rsidRDefault="00000000">
      <w:pPr>
        <w:spacing w:after="0" w:line="480" w:lineRule="auto"/>
        <w:ind w:firstLine="0"/>
        <w:jc w:val="center"/>
        <w:rPr>
          <w:b/>
          <w:bCs/>
        </w:rPr>
      </w:pPr>
      <w:r>
        <w:rPr>
          <w:b/>
          <w:bCs/>
        </w:rPr>
        <w:t xml:space="preserve"> </w:t>
      </w:r>
    </w:p>
    <w:p w14:paraId="4D3D5D8F" w14:textId="77777777" w:rsidR="004B487C" w:rsidRDefault="00000000">
      <w:pPr>
        <w:spacing w:after="0" w:line="480" w:lineRule="auto"/>
        <w:ind w:firstLine="0"/>
        <w:jc w:val="center"/>
      </w:pPr>
      <w:proofErr w:type="spellStart"/>
      <w:r>
        <w:t>Kenika</w:t>
      </w:r>
      <w:proofErr w:type="spellEnd"/>
      <w:r>
        <w:t xml:space="preserve"> Lorenzo-</w:t>
      </w:r>
      <w:proofErr w:type="spellStart"/>
      <w:r>
        <w:t>Elarco</w:t>
      </w:r>
      <w:proofErr w:type="spellEnd"/>
    </w:p>
    <w:p w14:paraId="463B27A4" w14:textId="77777777" w:rsidR="004B487C" w:rsidRDefault="00000000">
      <w:pPr>
        <w:spacing w:after="0" w:line="480" w:lineRule="auto"/>
        <w:ind w:firstLine="0"/>
        <w:jc w:val="center"/>
      </w:pPr>
      <w:r>
        <w:t xml:space="preserve">Center on Disability Studies, College of Education, University of </w:t>
      </w:r>
      <w:proofErr w:type="spellStart"/>
      <w:r>
        <w:t>Hawaiʻi</w:t>
      </w:r>
      <w:proofErr w:type="spellEnd"/>
      <w:r>
        <w:t xml:space="preserve"> at Mānoa</w:t>
      </w:r>
    </w:p>
    <w:p w14:paraId="666C9F9C" w14:textId="77777777" w:rsidR="004B487C" w:rsidRDefault="00000000">
      <w:pPr>
        <w:spacing w:after="0" w:line="480" w:lineRule="auto"/>
        <w:ind w:firstLine="0"/>
      </w:pPr>
      <w:r>
        <w:t xml:space="preserve"> </w:t>
      </w:r>
    </w:p>
    <w:p w14:paraId="1F0CDACE" w14:textId="77777777" w:rsidR="00CC4683" w:rsidRPr="00CC4683" w:rsidRDefault="00CC4683" w:rsidP="00CC4683">
      <w:pPr>
        <w:spacing w:after="0" w:line="480" w:lineRule="auto"/>
        <w:ind w:firstLine="0"/>
        <w:jc w:val="center"/>
        <w:rPr>
          <w:b/>
          <w:bCs/>
        </w:rPr>
      </w:pPr>
      <w:r w:rsidRPr="00CC4683">
        <w:rPr>
          <w:b/>
          <w:bCs/>
        </w:rPr>
        <w:t>Abstract</w:t>
      </w:r>
    </w:p>
    <w:p w14:paraId="4B32D35F" w14:textId="77777777" w:rsidR="00CC4683" w:rsidRDefault="00CC4683" w:rsidP="00CC4683">
      <w:pPr>
        <w:spacing w:after="0" w:line="480" w:lineRule="auto"/>
        <w:ind w:firstLine="0"/>
      </w:pPr>
      <w:r>
        <w:t>This book review critically engages with Indigenous Disability Studies, edited by John T.</w:t>
      </w:r>
    </w:p>
    <w:p w14:paraId="77E3C8BD" w14:textId="77777777" w:rsidR="00CC4683" w:rsidRDefault="00CC4683" w:rsidP="00CC4683">
      <w:pPr>
        <w:spacing w:after="0" w:line="480" w:lineRule="auto"/>
        <w:ind w:firstLine="0"/>
      </w:pPr>
      <w:r>
        <w:t>Ward, through the lens of a Native Hawaiian researcher, educator, and student. The review</w:t>
      </w:r>
    </w:p>
    <w:p w14:paraId="7898E3B5" w14:textId="77777777" w:rsidR="00CC4683" w:rsidRDefault="00CC4683" w:rsidP="00CC4683">
      <w:pPr>
        <w:spacing w:after="0" w:line="480" w:lineRule="auto"/>
        <w:ind w:firstLine="0"/>
      </w:pPr>
      <w:r>
        <w:t>explores how the book reframes disability through Indigenous worldviews rooted in</w:t>
      </w:r>
    </w:p>
    <w:p w14:paraId="1C6489EC" w14:textId="77777777" w:rsidR="00CC4683" w:rsidRDefault="00CC4683" w:rsidP="00CC4683">
      <w:pPr>
        <w:spacing w:after="0" w:line="480" w:lineRule="auto"/>
        <w:ind w:firstLine="0"/>
      </w:pPr>
      <w:r>
        <w:t>relationality, cultural continuity, and decolonial resistance. The review offers a personal and</w:t>
      </w:r>
    </w:p>
    <w:p w14:paraId="580BDD41" w14:textId="77777777" w:rsidR="00CC4683" w:rsidRDefault="00CC4683" w:rsidP="00CC4683">
      <w:pPr>
        <w:spacing w:after="0" w:line="480" w:lineRule="auto"/>
        <w:ind w:firstLine="0"/>
      </w:pPr>
      <w:r>
        <w:t>cultural reflection on how the text deepened the author’s understanding of disability history</w:t>
      </w:r>
    </w:p>
    <w:p w14:paraId="5A33DB22" w14:textId="77777777" w:rsidR="00CC4683" w:rsidRDefault="00CC4683" w:rsidP="00CC4683">
      <w:pPr>
        <w:spacing w:after="0" w:line="480" w:lineRule="auto"/>
        <w:ind w:firstLine="0"/>
      </w:pPr>
      <w:r>
        <w:t>and connected to traditional Hawaiian views that recognize disability as sacred ability.</w:t>
      </w:r>
    </w:p>
    <w:p w14:paraId="126A7CFF" w14:textId="77777777" w:rsidR="00CC4683" w:rsidRDefault="00CC4683" w:rsidP="00CC4683">
      <w:pPr>
        <w:spacing w:after="0" w:line="480" w:lineRule="auto"/>
        <w:ind w:firstLine="0"/>
      </w:pPr>
      <w:r>
        <w:t>Keywords: Indigenous Epistemology, Indigenous Disability Studies, Self-</w:t>
      </w:r>
    </w:p>
    <w:p w14:paraId="6EB46D3C" w14:textId="1A4A0DB8" w:rsidR="004B487C" w:rsidRDefault="00CC4683" w:rsidP="00CC4683">
      <w:pPr>
        <w:spacing w:after="0" w:line="480" w:lineRule="auto"/>
        <w:ind w:firstLine="0"/>
        <w:rPr>
          <w:b/>
          <w:bCs/>
        </w:rPr>
      </w:pPr>
      <w:r>
        <w:t xml:space="preserve">Determination, Disability </w:t>
      </w:r>
      <w:proofErr w:type="spellStart"/>
      <w:r>
        <w:t>Justic</w:t>
      </w:r>
      <w:proofErr w:type="spellEnd"/>
    </w:p>
    <w:p w14:paraId="1ACF8013" w14:textId="77777777" w:rsidR="004B487C" w:rsidRDefault="004B487C">
      <w:pPr>
        <w:spacing w:after="0" w:line="480" w:lineRule="auto"/>
        <w:ind w:firstLine="0"/>
        <w:rPr>
          <w:b/>
          <w:bCs/>
        </w:rPr>
      </w:pPr>
    </w:p>
    <w:p w14:paraId="31C974B2" w14:textId="77777777" w:rsidR="00833A20" w:rsidRDefault="00833A20">
      <w:pPr>
        <w:spacing w:after="0" w:line="480" w:lineRule="auto"/>
        <w:ind w:firstLine="0"/>
        <w:rPr>
          <w:b/>
          <w:bCs/>
        </w:rPr>
      </w:pPr>
    </w:p>
    <w:p w14:paraId="25711453" w14:textId="77777777" w:rsidR="004B487C" w:rsidRDefault="004B487C">
      <w:pPr>
        <w:spacing w:after="0" w:line="480" w:lineRule="auto"/>
        <w:ind w:firstLine="0"/>
        <w:rPr>
          <w:b/>
          <w:bCs/>
        </w:rPr>
      </w:pPr>
    </w:p>
    <w:p w14:paraId="339A6F43" w14:textId="77777777" w:rsidR="00833A20" w:rsidRDefault="00833A20">
      <w:pPr>
        <w:spacing w:after="0" w:line="480" w:lineRule="auto"/>
        <w:ind w:firstLine="0"/>
        <w:rPr>
          <w:b/>
          <w:bCs/>
        </w:rPr>
      </w:pPr>
    </w:p>
    <w:p w14:paraId="7E256933" w14:textId="25FCFF79" w:rsidR="004B487C" w:rsidRDefault="00CC4683">
      <w:pPr>
        <w:spacing w:after="0" w:line="480" w:lineRule="auto"/>
        <w:ind w:firstLine="0"/>
        <w:rPr>
          <w:b/>
          <w:bCs/>
        </w:rPr>
      </w:pPr>
      <w:r>
        <w:rPr>
          <w:b/>
          <w:bCs/>
        </w:rPr>
        <w:lastRenderedPageBreak/>
        <w:br/>
        <w:t>We Were Never the Problem: Reclaiming Disability Through Indigenous Worldviews</w:t>
      </w:r>
    </w:p>
    <w:p w14:paraId="7C41BA71" w14:textId="77777777" w:rsidR="004B487C" w:rsidRPr="00432B04" w:rsidRDefault="00000000">
      <w:pPr>
        <w:spacing w:after="0" w:line="480" w:lineRule="auto"/>
        <w:ind w:firstLine="0"/>
        <w:jc w:val="center"/>
        <w:rPr>
          <w:b/>
          <w:bCs/>
        </w:rPr>
      </w:pPr>
      <w:r w:rsidRPr="00432B04">
        <w:rPr>
          <w:b/>
          <w:bCs/>
        </w:rPr>
        <w:t xml:space="preserve">A Review of </w:t>
      </w:r>
      <w:r w:rsidRPr="00432B04">
        <w:rPr>
          <w:b/>
          <w:bCs/>
          <w:i/>
          <w:iCs/>
        </w:rPr>
        <w:t>Indigenous Disability Studies</w:t>
      </w:r>
      <w:r w:rsidRPr="00432B04">
        <w:rPr>
          <w:b/>
          <w:bCs/>
        </w:rPr>
        <w:t>, edited by John T. Ward</w:t>
      </w:r>
    </w:p>
    <w:p w14:paraId="009A7711" w14:textId="77777777" w:rsidR="004B487C" w:rsidRDefault="00000000">
      <w:pPr>
        <w:spacing w:after="0" w:line="480" w:lineRule="auto"/>
      </w:pPr>
      <w:r>
        <w:t xml:space="preserve">Too often, disability is framed through Western colonial lenses: as an individual impairment, a deficit, a liability, or as something that must be fixed or managed. In contrast, the 2025 anthology </w:t>
      </w:r>
      <w:r>
        <w:rPr>
          <w:i/>
          <w:iCs/>
        </w:rPr>
        <w:t xml:space="preserve">Indigenous Disability Studies, </w:t>
      </w:r>
      <w:r>
        <w:t xml:space="preserve">edited by John T. Ward, offers a bold reframing. Centering the voices of Elders, scholars, caregivers, and community leaders from across the globe, the anthology challenges dominant Western models of disability that have historically silenced, pathologized, or erased Indigenous perspectives and instead uplifts Indigenous worldviews grounded in relationality, community belonging, ancestral knowledge, and sovereignty. At its core, the book affirms Indigenous self-determination, recognizing that communities must have the authority to define, lead, and govern their approaches to disability, care, and inclusion in ways that reflect their own cultural and political values. The insights shared in this book are not simply intellectual interventions, but reminders of what it means to be in good </w:t>
      </w:r>
      <w:proofErr w:type="gramStart"/>
      <w:r>
        <w:t>relation</w:t>
      </w:r>
      <w:proofErr w:type="gramEnd"/>
      <w:r>
        <w:t xml:space="preserve"> with ourselves, our </w:t>
      </w:r>
      <w:proofErr w:type="spellStart"/>
      <w:r>
        <w:t>kaiāulu</w:t>
      </w:r>
      <w:proofErr w:type="spellEnd"/>
      <w:r>
        <w:t xml:space="preserve"> (communities), and our </w:t>
      </w:r>
      <w:proofErr w:type="spellStart"/>
      <w:r>
        <w:t>ʻāina</w:t>
      </w:r>
      <w:proofErr w:type="spellEnd"/>
      <w:r>
        <w:t xml:space="preserve"> (land).</w:t>
      </w:r>
    </w:p>
    <w:p w14:paraId="40D67DF3" w14:textId="77777777" w:rsidR="004B487C" w:rsidRDefault="00000000">
      <w:pPr>
        <w:spacing w:after="0" w:line="480" w:lineRule="auto"/>
        <w:rPr>
          <w:b/>
          <w:bCs/>
        </w:rPr>
      </w:pPr>
      <w:r>
        <w:t xml:space="preserve">While the book itself does not explicitly center Hawaiian or Pacific Islander perspectives, I approach it through the lens of a </w:t>
      </w:r>
      <w:proofErr w:type="spellStart"/>
      <w:r>
        <w:t>Kānaka</w:t>
      </w:r>
      <w:proofErr w:type="spellEnd"/>
      <w:r>
        <w:t xml:space="preserve"> </w:t>
      </w:r>
      <w:proofErr w:type="spellStart"/>
      <w:r>
        <w:t>ʻŌiwi</w:t>
      </w:r>
      <w:proofErr w:type="spellEnd"/>
      <w:r>
        <w:t xml:space="preserve"> (Native Hawaiian) educator, researcher, and student, situated within a community long shaped by colonial policies and impositions on education, health, and ability. This review draws connections between the book’s global Indigenous frameworks and the lived experiences, values, and histories of </w:t>
      </w:r>
      <w:proofErr w:type="spellStart"/>
      <w:r>
        <w:t>Kānaka</w:t>
      </w:r>
      <w:proofErr w:type="spellEnd"/>
      <w:r>
        <w:t xml:space="preserve"> </w:t>
      </w:r>
      <w:proofErr w:type="spellStart"/>
      <w:r>
        <w:t>ʻŌiwi</w:t>
      </w:r>
      <w:proofErr w:type="spellEnd"/>
      <w:r>
        <w:t xml:space="preserve">. This review is not a summary of what the book claims about </w:t>
      </w:r>
      <w:proofErr w:type="spellStart"/>
      <w:r>
        <w:t>Hawaiʻi</w:t>
      </w:r>
      <w:proofErr w:type="spellEnd"/>
      <w:r>
        <w:t xml:space="preserve">, but rather a reflection on how its insights resonate deeply within our own cultural context and offer pathways for grounding disability justice in our ways of knowing and being. For those </w:t>
      </w:r>
      <w:r>
        <w:lastRenderedPageBreak/>
        <w:t xml:space="preserve">of us who have witnessed the pathologization of </w:t>
      </w:r>
      <w:proofErr w:type="spellStart"/>
      <w:r>
        <w:t>ʻŌlelo</w:t>
      </w:r>
      <w:proofErr w:type="spellEnd"/>
      <w:r>
        <w:t xml:space="preserve"> </w:t>
      </w:r>
      <w:proofErr w:type="spellStart"/>
      <w:r>
        <w:t>Hawaiʻi</w:t>
      </w:r>
      <w:proofErr w:type="spellEnd"/>
      <w:r>
        <w:t xml:space="preserve"> (Hawaiian Language), traditional learning styles, and extended family caregiving structures, the book speaks to something deeper than theory. It resonates. It affirms what many of us have always known: our differences were never the problem. We were never the problem. Colonialism was.</w:t>
      </w:r>
    </w:p>
    <w:p w14:paraId="7FAAA4A6" w14:textId="77777777" w:rsidR="004B487C" w:rsidRDefault="00000000">
      <w:pPr>
        <w:spacing w:after="0" w:line="480" w:lineRule="auto"/>
        <w:ind w:firstLine="0"/>
        <w:rPr>
          <w:b/>
          <w:bCs/>
        </w:rPr>
      </w:pPr>
      <w:r>
        <w:rPr>
          <w:b/>
          <w:bCs/>
        </w:rPr>
        <w:t>The Structure and Scope of the Book</w:t>
      </w:r>
    </w:p>
    <w:p w14:paraId="507B63A6" w14:textId="77777777" w:rsidR="004B487C" w:rsidRDefault="00000000">
      <w:pPr>
        <w:spacing w:after="0" w:line="480" w:lineRule="auto"/>
      </w:pPr>
      <w:r>
        <w:t>The book is organized into five ‘</w:t>
      </w:r>
      <w:proofErr w:type="gramStart"/>
      <w:r>
        <w:t>threads’</w:t>
      </w:r>
      <w:proofErr w:type="gramEnd"/>
      <w:r>
        <w:t xml:space="preserve"> or sections, each reflecting thematic and cultural interconnections and building on one another like braided strands of knowledge across more than 30 chapters. The sections, as follows, hold together like a woven lei of lived experience, analysis, and cultural memory, offering not only insight but also invitation. Each thread of this lei contributes its own distinct texture and fragrance, grounded in the voices and experiences of Indigenous peoples. Together, they form a rich, interconnected story that challenges and reimagines how we understand disability, care, and community.</w:t>
      </w:r>
    </w:p>
    <w:p w14:paraId="28AAAE00" w14:textId="77777777" w:rsidR="004B487C" w:rsidRDefault="00000000">
      <w:pPr>
        <w:spacing w:after="0" w:line="480" w:lineRule="auto"/>
      </w:pPr>
      <w:r>
        <w:rPr>
          <w:i/>
          <w:iCs/>
        </w:rPr>
        <w:t>Part I: The Power, Wisdom, Knowledge, and Lived Experiences of Elders</w:t>
      </w:r>
      <w:r>
        <w:rPr>
          <w:b/>
          <w:bCs/>
        </w:rPr>
        <w:t xml:space="preserve"> </w:t>
      </w:r>
      <w:r>
        <w:t xml:space="preserve">begins with powerful testimonies from respected community leaders, such as Elder Annie Smith St-Georges and Peter </w:t>
      </w:r>
      <w:proofErr w:type="spellStart"/>
      <w:r>
        <w:t>Nakoochee</w:t>
      </w:r>
      <w:proofErr w:type="spellEnd"/>
      <w:r>
        <w:t xml:space="preserve">, whose </w:t>
      </w:r>
      <w:proofErr w:type="spellStart"/>
      <w:r>
        <w:t>moʻolelo</w:t>
      </w:r>
      <w:proofErr w:type="spellEnd"/>
      <w:r>
        <w:t xml:space="preserve"> (stories) reveal how Indigenous students have been misdiagnosed and pathologized under colonial schooling systems. I appreciated that the anthology begins here, not just as an editorial intent, but in alignment with cultural protocol in many Indigenous communities: Elders come first. Their contributions are not simply stories from the past, but teachings that guide the present and inform the future. As the text reminds us, these individuals are not only cultural keepers, but also educators, spiritual leaders, political organizers, and healers who have shaped community knowledge in times of conflict and change​. One distinct example is Elder Annie Smith St-Georges, an Algonquin Elder whose chapter challenges how colonial education systems have pathologized language differences. She shares an illuminating story of being labeled as “disabled” and “unable to </w:t>
      </w:r>
      <w:r>
        <w:lastRenderedPageBreak/>
        <w:t>learn” not because of an actual language difference but because her brain processed her first language, Algonquin, before English. She later recognized that this difference in language structure would appear to non-Indigenous people to be a disability. “</w:t>
      </w:r>
      <w:r>
        <w:rPr>
          <w:i/>
          <w:iCs/>
        </w:rPr>
        <w:t>It’s my language. It’s my brain set – that’s my culture, that’s my way of speaking. That’s who I am,</w:t>
      </w:r>
      <w:r>
        <w:t>” she states. This framing is powerful, especially for Indigenous peoples who have witnessed the marginalization of their language, culture, learning styles, and practices. The narratives of the Elders in Part I highlight how language, cultural values, and colonial trauma intersect to create educational and psychological barriers that are then labeled as disabilities.</w:t>
      </w:r>
    </w:p>
    <w:p w14:paraId="36E1EF8C" w14:textId="77777777" w:rsidR="004B487C" w:rsidRDefault="00000000">
      <w:pPr>
        <w:spacing w:after="0" w:line="480" w:lineRule="auto"/>
      </w:pPr>
      <w:r>
        <w:rPr>
          <w:i/>
          <w:iCs/>
        </w:rPr>
        <w:t xml:space="preserve">Part II: Reframing the Narrative – Navigating Self-Representation </w:t>
      </w:r>
      <w:r>
        <w:t xml:space="preserve">offers insight into how Indigenous people navigate identity, belonging, and disability within and against the constraints of colonial narratives. It explores how Indigenous people with disabilities understand and represent themselves, </w:t>
      </w:r>
      <w:proofErr w:type="gramStart"/>
      <w:r>
        <w:t>challenge imposed</w:t>
      </w:r>
      <w:proofErr w:type="gramEnd"/>
      <w:r>
        <w:t xml:space="preserve"> labels and diagnostic categories, demonstrating the power of speaking from place, culture, and embodied truth. This chapter feels particularly resonant for Indigenous peoples whose sense of identity and belonging have been disrupted, reshaped, and rewritten by imposed systems–education, law, religion, even language itself. The chapters move across Turtle Island, South America, Mauritius, Nepal, and Algeria, showing that colonialism’s reach may be global, but so is Indigenous resilience. What stands out in this section is the emphasis on </w:t>
      </w:r>
      <w:r>
        <w:rPr>
          <w:i/>
          <w:iCs/>
        </w:rPr>
        <w:t>transcendent identity</w:t>
      </w:r>
      <w:r>
        <w:t>—how individuals carry and express Indigeneity across territories, generations, and social positions. Identity here is not fixed but evolving, shaped by migration, trauma, reconnection, and responsibility.</w:t>
      </w:r>
      <w:r>
        <w:tab/>
      </w:r>
      <w:proofErr w:type="gramStart"/>
      <w:r>
        <w:t>One chapter</w:t>
      </w:r>
      <w:proofErr w:type="gramEnd"/>
      <w:r>
        <w:t xml:space="preserve"> notes, “identity is a complex and ever-changing path to understanding oneself that is constructed by a multitude of </w:t>
      </w:r>
      <w:proofErr w:type="spellStart"/>
      <w:r>
        <w:t>intersectionalities</w:t>
      </w:r>
      <w:proofErr w:type="spellEnd"/>
      <w:r>
        <w:t xml:space="preserve"> and dimensions that all contribute to the identity of self,” especially when tribal language, ceremony, or physical appearance have been disrupted or denied. For many Indigenous people, including </w:t>
      </w:r>
      <w:proofErr w:type="spellStart"/>
      <w:r>
        <w:t>Kānaka</w:t>
      </w:r>
      <w:proofErr w:type="spellEnd"/>
      <w:r>
        <w:t xml:space="preserve"> </w:t>
      </w:r>
      <w:proofErr w:type="spellStart"/>
      <w:r>
        <w:lastRenderedPageBreak/>
        <w:t>ʻŌiwi</w:t>
      </w:r>
      <w:proofErr w:type="spellEnd"/>
      <w:r>
        <w:t xml:space="preserve">, this complexity feels familiar. Many in our </w:t>
      </w:r>
      <w:proofErr w:type="spellStart"/>
      <w:r>
        <w:t>kaiāulu</w:t>
      </w:r>
      <w:proofErr w:type="spellEnd"/>
      <w:r>
        <w:t xml:space="preserve"> carry the weight of their </w:t>
      </w:r>
      <w:proofErr w:type="spellStart"/>
      <w:r>
        <w:t>moʻokūauhau</w:t>
      </w:r>
      <w:proofErr w:type="spellEnd"/>
      <w:r>
        <w:t xml:space="preserve"> (genealogy) disrupted by historical trauma, loss of land, attempted erasures, and assimilation policies. Navigating identity often means moving between worlds: school and home, Western and Indigenous, colonial and cultural, and choosing, sometimes daily, how to hold those contradictions with dignity. The stories in this section remind us that to claim our identity is a form of resistance, and that disability itself, when viewed through an Indigenous lens, is often understood not as limitation but as relational capacity, responsibility, and gift. What I liked about this section was that it doesn’t just tell stories of other communities, but it invites us to listen and explore our own. It reminds us that healing and self-definition are intertwined, and that reframing disability requires reframing the self.</w:t>
      </w:r>
    </w:p>
    <w:p w14:paraId="14AF9485" w14:textId="77777777" w:rsidR="004B487C" w:rsidRDefault="00000000">
      <w:pPr>
        <w:spacing w:after="0" w:line="480" w:lineRule="auto"/>
      </w:pPr>
      <w:r>
        <w:rPr>
          <w:i/>
          <w:iCs/>
        </w:rPr>
        <w:t>Part III: Learning from Within – Including Traditional Knowledge</w:t>
      </w:r>
      <w:r>
        <w:t xml:space="preserve"> elevates Indigenous sign languages and epistemologies, such as Plains Indian Sign Language and </w:t>
      </w:r>
      <w:proofErr w:type="spellStart"/>
      <w:r>
        <w:t>Yolŋu</w:t>
      </w:r>
      <w:proofErr w:type="spellEnd"/>
      <w:r>
        <w:t xml:space="preserve"> Sign Language, as critical tools of identity, resistance, and wellness. Drawing on contributions from Australia, South Africa, Canada, Taiwan, the U.S., and the Democratic Republic of </w:t>
      </w:r>
      <w:proofErr w:type="gramStart"/>
      <w:r>
        <w:t>the Congo</w:t>
      </w:r>
      <w:proofErr w:type="gramEnd"/>
      <w:r>
        <w:t xml:space="preserve">, these chapters emphasize that Indigenous understandings of ability are deeply rooted in relationship, oral history, ceremony, and holistic care. The knowledge shared here is not theoretical. It is ancestral, it is lived, and it is embodied in practice and place​. Throughout this section, the emphasis on traditional knowledge challenges the idea that disability support must come from professionalized, western institutions. Instead, the authors show how cultural protocols, storytelling, and intergenerational care offer models for inclusion that are grounded in community and respect. For Indigenous peoples, learning doesn’t happen in isolation–it happens </w:t>
      </w:r>
      <w:r>
        <w:rPr>
          <w:i/>
          <w:iCs/>
        </w:rPr>
        <w:t>with</w:t>
      </w:r>
      <w:r>
        <w:t xml:space="preserve"> and </w:t>
      </w:r>
      <w:r>
        <w:rPr>
          <w:i/>
          <w:iCs/>
        </w:rPr>
        <w:t>through</w:t>
      </w:r>
      <w:r>
        <w:t xml:space="preserve"> others. This idea is central to both education and healing. In many ways, Part III feels like a call to re-anchor </w:t>
      </w:r>
      <w:proofErr w:type="gramStart"/>
      <w:r>
        <w:t>ourselves</w:t>
      </w:r>
      <w:proofErr w:type="gramEnd"/>
      <w:r>
        <w:t xml:space="preserve"> in the practices that have always sustained us, even when colonial systems told us they weren’t </w:t>
      </w:r>
      <w:r>
        <w:lastRenderedPageBreak/>
        <w:t>valid. It’s not about going “back” to tradition–it’s about recognizing that our knowledge systems were never lost. They’ve been carried, protected, and passed down, and they have much to teach the world about what true inclusion looks like.</w:t>
      </w:r>
    </w:p>
    <w:p w14:paraId="2EE170CF" w14:textId="77777777" w:rsidR="004B487C" w:rsidRDefault="00000000">
      <w:pPr>
        <w:spacing w:after="0" w:line="480" w:lineRule="auto"/>
      </w:pPr>
      <w:r>
        <w:rPr>
          <w:i/>
          <w:iCs/>
        </w:rPr>
        <w:t xml:space="preserve">Part IV: Challenging Colonial Authority – Infusing Regional Ideals and Concepts </w:t>
      </w:r>
      <w:r>
        <w:t>takes a more explicitly political turn, examining how Indigenous communities resist, reinterpret, and transform colonial models of disability by reclaiming their own regional and cultural concepts. The authors of this section push back against settler-colonial definitions of ability and education, highlighting the lasting impacts of imposed systems and the healing potential of culturally rooted alternatives. What grounds this section is its clarity: colonialism isn’t just historical–it is ongoing, especially in how institutions define who is “disabled,” who is “normal,” and who deserves support. Several chapters critique how Western education systems label Indigenous children with learning differences as deficient, while ignoring how those same systems fail to accommodate diverse ways of knowing and processing. One chapter offers a simple but transformative shift: “</w:t>
      </w:r>
      <w:r>
        <w:rPr>
          <w:i/>
          <w:iCs/>
        </w:rPr>
        <w:t>by looking beyond the ‘dis,’ we can see the ‘abilities’</w:t>
      </w:r>
      <w:r>
        <w:t xml:space="preserve">”–a reminder that language itself can either empower or erase. </w:t>
      </w:r>
    </w:p>
    <w:p w14:paraId="19B17B69" w14:textId="77777777" w:rsidR="004B487C" w:rsidRDefault="00000000">
      <w:pPr>
        <w:spacing w:after="0" w:line="480" w:lineRule="auto"/>
      </w:pPr>
      <w:r>
        <w:t xml:space="preserve">This section also centers frameworks like the Indigenous Critical Disability Theory and the Sweetgrass Method, a culturally responsive framework for working with Indigenous students and families. It weaves together three strands: introspection, communication, and continuity. It challenges educators to move beyond surface-level accommodations and toward genuine relationships, responsibility, and shared growth. We are reminded here that to challenge colonial authority in disability discourse, we must first name it, then rebuild from the wisdom that has always been there. This isn’t just policy work. It’s cultural work. It’s remembering that Indigenous peoples are not “service users” or “beneficiaries”—we are the knowledge keepers, the caregivers, the creators of systems rooted in aloha, </w:t>
      </w:r>
      <w:proofErr w:type="spellStart"/>
      <w:r>
        <w:t>pilina</w:t>
      </w:r>
      <w:proofErr w:type="spellEnd"/>
      <w:r>
        <w:t xml:space="preserve">, and </w:t>
      </w:r>
      <w:proofErr w:type="spellStart"/>
      <w:r>
        <w:lastRenderedPageBreak/>
        <w:t>kuleana</w:t>
      </w:r>
      <w:proofErr w:type="spellEnd"/>
      <w:r>
        <w:t xml:space="preserve">. We are our </w:t>
      </w:r>
      <w:proofErr w:type="spellStart"/>
      <w:r>
        <w:t>kūpuna’s</w:t>
      </w:r>
      <w:proofErr w:type="spellEnd"/>
      <w:r>
        <w:t xml:space="preserve"> wildest dreams.</w:t>
      </w:r>
    </w:p>
    <w:p w14:paraId="48D82630" w14:textId="77777777" w:rsidR="004B487C" w:rsidRDefault="00000000">
      <w:pPr>
        <w:spacing w:after="0" w:line="480" w:lineRule="auto"/>
      </w:pPr>
      <w:r>
        <w:rPr>
          <w:i/>
          <w:iCs/>
        </w:rPr>
        <w:t xml:space="preserve">Part V: Interpretations, Narratives, and Lived Experiences of Grassroots Teachers and Social Service Providers </w:t>
      </w:r>
      <w:r>
        <w:t xml:space="preserve">brings us to the ground level, where the work of disability, care, and survival is not abstract, but immediate. Featuring </w:t>
      </w:r>
      <w:proofErr w:type="spellStart"/>
      <w:r>
        <w:t>moʻolelo</w:t>
      </w:r>
      <w:proofErr w:type="spellEnd"/>
      <w:r>
        <w:t xml:space="preserve"> from Uganda, Taiwan, and other often-overlooked regions, this final section centers grassroots practitioners and social service providers, many of whom are publishing for the first time. Their reflections are raw, grounded in daily realities, and shaped by histories of colonial violence, poverty, and global inequality, revealing how colonization, war, disease, and poverty have created and compounded disability. Yet rather than present these conditions as limiting, the authors frame them as urgent calls for recognition, equity, and connection and emphasizes the creativity and resilience of local educators and care workers. </w:t>
      </w:r>
    </w:p>
    <w:p w14:paraId="273DDE60" w14:textId="77777777" w:rsidR="004B487C" w:rsidRDefault="00000000">
      <w:pPr>
        <w:spacing w:after="0" w:line="480" w:lineRule="auto"/>
      </w:pPr>
      <w:r>
        <w:t xml:space="preserve">One of the most powerful contributions of this section is its insistence on expanding how we define both </w:t>
      </w:r>
      <w:r>
        <w:rPr>
          <w:i/>
          <w:iCs/>
        </w:rPr>
        <w:t>disability</w:t>
      </w:r>
      <w:r>
        <w:t xml:space="preserve"> and </w:t>
      </w:r>
      <w:r>
        <w:rPr>
          <w:i/>
          <w:iCs/>
        </w:rPr>
        <w:t>Indigenous</w:t>
      </w:r>
      <w:r>
        <w:t xml:space="preserve">. These stories challenge Western frameworks that view disability only through a medical lens. In many of the contexts described, disability arises not just from genetic or developmental differences, but from war, displacement, illness, or acts of torture. The consequences of colonialism, whether through land theft, conflict, or extractive economies, are more than just historical events. They are ongoing sources of harm that create and compound disability every day. What also stands out in Part V is the emphasis on community-based care. In places where formal systems are limited or dangerous, teachers, aunties, neighbors, and cultural practitioners often step in as caregivers and healers. Their work isn’t “professionalized” in the Western sense, but it is deeply relational, rooted in a sense of </w:t>
      </w:r>
      <w:proofErr w:type="spellStart"/>
      <w:r>
        <w:t>kuleana</w:t>
      </w:r>
      <w:proofErr w:type="spellEnd"/>
      <w:r>
        <w:t xml:space="preserve"> to others. These stories remind us that disability justice can’t be confined to legal mandates or service plans. It must include everyday acts of survival, solidarity, and cultural continuity.</w:t>
      </w:r>
    </w:p>
    <w:p w14:paraId="0B88C1AD" w14:textId="77777777" w:rsidR="004B487C" w:rsidRDefault="00000000">
      <w:pPr>
        <w:spacing w:after="0" w:line="480" w:lineRule="auto"/>
        <w:ind w:firstLine="0"/>
      </w:pPr>
      <w:r>
        <w:lastRenderedPageBreak/>
        <w:t xml:space="preserve"> </w:t>
      </w:r>
    </w:p>
    <w:p w14:paraId="187AB130" w14:textId="77777777" w:rsidR="004B487C" w:rsidRDefault="004B487C">
      <w:pPr>
        <w:spacing w:after="0" w:line="480" w:lineRule="auto"/>
        <w:ind w:firstLine="0"/>
        <w:rPr>
          <w:b/>
          <w:bCs/>
        </w:rPr>
      </w:pPr>
    </w:p>
    <w:p w14:paraId="35EC3FC7" w14:textId="77777777" w:rsidR="004B487C" w:rsidRDefault="00000000">
      <w:pPr>
        <w:spacing w:after="0" w:line="480" w:lineRule="auto"/>
        <w:ind w:firstLine="0"/>
        <w:rPr>
          <w:b/>
          <w:bCs/>
        </w:rPr>
      </w:pPr>
      <w:r>
        <w:rPr>
          <w:b/>
          <w:bCs/>
        </w:rPr>
        <w:t xml:space="preserve">A </w:t>
      </w:r>
      <w:proofErr w:type="spellStart"/>
      <w:r>
        <w:rPr>
          <w:b/>
          <w:bCs/>
        </w:rPr>
        <w:t>Kānaka</w:t>
      </w:r>
      <w:proofErr w:type="spellEnd"/>
      <w:r>
        <w:rPr>
          <w:b/>
          <w:bCs/>
        </w:rPr>
        <w:t xml:space="preserve"> </w:t>
      </w:r>
      <w:proofErr w:type="spellStart"/>
      <w:r>
        <w:rPr>
          <w:b/>
          <w:bCs/>
        </w:rPr>
        <w:t>ʻŌiwi</w:t>
      </w:r>
      <w:proofErr w:type="spellEnd"/>
      <w:r>
        <w:rPr>
          <w:b/>
          <w:bCs/>
        </w:rPr>
        <w:t xml:space="preserve"> Reflection</w:t>
      </w:r>
    </w:p>
    <w:p w14:paraId="435777C1" w14:textId="77777777" w:rsidR="004B487C" w:rsidRDefault="00000000">
      <w:pPr>
        <w:spacing w:after="0" w:line="480" w:lineRule="auto"/>
      </w:pPr>
      <w:r>
        <w:t xml:space="preserve">I chose </w:t>
      </w:r>
      <w:r>
        <w:rPr>
          <w:i/>
          <w:iCs/>
        </w:rPr>
        <w:t>Indigenous Disability Studies</w:t>
      </w:r>
      <w:r>
        <w:t xml:space="preserve"> because I wanted to engage with a text that not only aligned with my academic interests but also spoke directly to my cultural and lived experience as a Native Hawaiian educator, scholar, and student. As someone committed to reframing systems of education, health, and governance through Indigenous worldviews, I was drawn to this book’s promise of an intersectional, decolonial approach to disability. Most of what I’ve read in the field is shaped by Euro-American academic traditions. I wanted to read a book that uplifted Indigenous knowledge systems and relational values. Furthermore, I’ve long observed that our </w:t>
      </w:r>
      <w:proofErr w:type="spellStart"/>
      <w:r>
        <w:t>kaiāulu</w:t>
      </w:r>
      <w:proofErr w:type="spellEnd"/>
      <w:r>
        <w:t xml:space="preserve"> continues to navigate complex realities where colonialism, educational marginalization, and systemic health inequities intersect with disability in profound ways. I selected this book hoping it would provide both global insight and community-grounded strategies that I could bring into my own work with Native Hawaiian students and families.</w:t>
      </w:r>
    </w:p>
    <w:p w14:paraId="0D9A0560" w14:textId="77777777" w:rsidR="004B487C" w:rsidRDefault="00000000">
      <w:pPr>
        <w:spacing w:after="0" w:line="480" w:lineRule="auto"/>
      </w:pPr>
      <w:r>
        <w:t xml:space="preserve">Reading </w:t>
      </w:r>
      <w:r>
        <w:rPr>
          <w:i/>
          <w:iCs/>
        </w:rPr>
        <w:t>Indigenous Disability Studies</w:t>
      </w:r>
      <w:r>
        <w:t xml:space="preserve"> through a Native Hawaiian lens brings layered insights. The text felt less like a detached academic work and more like a gathering of voices with whom I have </w:t>
      </w:r>
      <w:proofErr w:type="spellStart"/>
      <w:r>
        <w:t>pilina</w:t>
      </w:r>
      <w:proofErr w:type="spellEnd"/>
      <w:r>
        <w:t xml:space="preserve"> to. The authors’ stories called to mind my own </w:t>
      </w:r>
      <w:proofErr w:type="spellStart"/>
      <w:r>
        <w:t>kūpuna</w:t>
      </w:r>
      <w:proofErr w:type="spellEnd"/>
      <w:r>
        <w:t xml:space="preserve">, who faced institutionalization for speaking </w:t>
      </w:r>
      <w:proofErr w:type="spellStart"/>
      <w:r>
        <w:t>ʻōlelo</w:t>
      </w:r>
      <w:proofErr w:type="spellEnd"/>
      <w:r>
        <w:t xml:space="preserve"> </w:t>
      </w:r>
      <w:proofErr w:type="gramStart"/>
      <w:r>
        <w:t>Hawai‘</w:t>
      </w:r>
      <w:proofErr w:type="gramEnd"/>
      <w:r>
        <w:t xml:space="preserve">i, and to the keiki, </w:t>
      </w:r>
      <w:proofErr w:type="spellStart"/>
      <w:r>
        <w:t>haumāna</w:t>
      </w:r>
      <w:proofErr w:type="spellEnd"/>
      <w:r>
        <w:t xml:space="preserve">, and future of our </w:t>
      </w:r>
      <w:proofErr w:type="spellStart"/>
      <w:r>
        <w:t>lāhui</w:t>
      </w:r>
      <w:proofErr w:type="spellEnd"/>
      <w:r>
        <w:t>, who still struggle in school systems designed to measure assimilation, not brilliance. These reflections are deeply personal. They are about the people I come from.</w:t>
      </w:r>
    </w:p>
    <w:p w14:paraId="68CCFAAE" w14:textId="77777777" w:rsidR="004B487C" w:rsidRDefault="00000000">
      <w:pPr>
        <w:spacing w:after="0" w:line="480" w:lineRule="auto"/>
      </w:pPr>
      <w:r>
        <w:t xml:space="preserve">This book expanded my understanding of disability history by placing it within the broader context of colonization, Indigenous resistance, cultural continuity, and relational worldviews. It shifted disability from being a legal or biomedical issue to something deeply </w:t>
      </w:r>
      <w:r>
        <w:lastRenderedPageBreak/>
        <w:t xml:space="preserve">historical, spiritual, and political. Most importantly, it helped me to understand how colonization doesn’t simply respond to disability–it actively produces it in Indigenous communities through disconnection from land, from language, and from cultural practices of care. This book reframes disability not as an individual impairment but as something shaped by structural violence, cultural suppression, and systemic exclusion. In one of the chapters, Kevin P. Morgan states, “I used to feel as if I lived between two worlds... now I am firmly grounded in my Indigenous identity.” This line not only resonated with me, </w:t>
      </w:r>
      <w:proofErr w:type="gramStart"/>
      <w:r>
        <w:t>it</w:t>
      </w:r>
      <w:proofErr w:type="gramEnd"/>
      <w:r>
        <w:t xml:space="preserve"> also reminded me of my own experience growing up in a Native Hawaiian household, where I was taught that traditional Hawaiian views of disability were very different from Western ones. In our culture, disability was not something to be fixed or hidden. It was often seen as a natural part of life, and individuals with disabilities were understood to carry unique insight, gifts, and </w:t>
      </w:r>
      <w:proofErr w:type="spellStart"/>
      <w:r>
        <w:t>kuleana</w:t>
      </w:r>
      <w:proofErr w:type="spellEnd"/>
      <w:r>
        <w:t>. They were not excluded but recognized for their unique contributions to the community–sometimes as healers, seers, or teachers. Disability, in this context, was not a deficit. It was a sacred ability. But in school, those same traits were pathologized. Curricula, testing, and classroom norms taught me that those differences were something to hide, manage, or overcome. What was honored in community became stigmatized in institutional settings.</w:t>
      </w:r>
    </w:p>
    <w:p w14:paraId="1AB9D801" w14:textId="77777777" w:rsidR="004B487C" w:rsidRDefault="00000000">
      <w:pPr>
        <w:spacing w:after="0" w:line="480" w:lineRule="auto"/>
      </w:pPr>
      <w:r>
        <w:t xml:space="preserve">Morgan’s words helped me name something I have long </w:t>
      </w:r>
      <w:proofErr w:type="gramStart"/>
      <w:r>
        <w:t>felt:</w:t>
      </w:r>
      <w:proofErr w:type="gramEnd"/>
      <w:r>
        <w:t xml:space="preserve"> that returning to Indigenous frameworks is not just a cultural preference, it’s a political act of restoration. That kind of grounding–of being “firmly” rooted in Indigenous identity–is what I now understand as essential for Indigenous students, families, and cultural practitioners. Whether we are navigating classrooms, clinics, or courts, we must be able to define ourselves and our differences through our own knowledge systems. This book affirmed that the history of disability, for Indigenous peoples, cannot be understood apart from the history of </w:t>
      </w:r>
      <w:r>
        <w:lastRenderedPageBreak/>
        <w:t>colonization and the ongoing work of reclaiming identity, language, and relational care.</w:t>
      </w:r>
    </w:p>
    <w:p w14:paraId="66A05C54" w14:textId="77777777" w:rsidR="004B487C" w:rsidRDefault="00000000">
      <w:pPr>
        <w:spacing w:after="0" w:line="480" w:lineRule="auto"/>
        <w:ind w:firstLine="20"/>
      </w:pPr>
      <w:r>
        <w:t xml:space="preserve"> </w:t>
      </w:r>
    </w:p>
    <w:p w14:paraId="3102E4AC" w14:textId="77777777" w:rsidR="004B487C" w:rsidRDefault="00000000">
      <w:pPr>
        <w:spacing w:after="0" w:line="480" w:lineRule="auto"/>
        <w:ind w:firstLine="0"/>
        <w:rPr>
          <w:b/>
          <w:bCs/>
        </w:rPr>
      </w:pPr>
      <w:r>
        <w:rPr>
          <w:b/>
          <w:bCs/>
        </w:rPr>
        <w:t>Recommendations and Further Engagement</w:t>
      </w:r>
    </w:p>
    <w:p w14:paraId="570B7260" w14:textId="77777777" w:rsidR="004B487C" w:rsidRDefault="00000000">
      <w:pPr>
        <w:spacing w:after="0" w:line="480" w:lineRule="auto"/>
      </w:pPr>
      <w:r>
        <w:t xml:space="preserve">I would highly recommend </w:t>
      </w:r>
      <w:r>
        <w:rPr>
          <w:i/>
          <w:iCs/>
        </w:rPr>
        <w:t>Indigenous Disability Studies</w:t>
      </w:r>
      <w:r>
        <w:t xml:space="preserve">, not only to students in disability studies, but to educators, public health professionals, social workers, policymakers, cultural practitioners, and advocates for those supporting Indigenous peoples with disabilities. Disability Studies has long lacked meaningful engagement with Indigenous epistemologies. By offering a perspective rooted in Indigenous ways of knowing, this book fills a critical gap in the field–one that remains largely underexplored. It centers Indigenous authors not just as contributors, but as architects of theory, care, and resistance. In doing so, it creates space for Indigenous peoples to tell their own stories, reclaim narrative authority, and redefine disability on their own terms–grounded in community, culture, and continuity. It shows that disability justice cannot exist without Indigenous sovereignty and cultural resurgence. I appreciated that the book is rooted in story and ceremony. It doesn’t just present arguments, it models what Indigenous pedagogy looks like. Readers are invited to sit with Elders, to listen across generations and geographies, to engage with frameworks like the Sweetgrass Method that prioritize emotional and spiritual integrity. It teaches through rhythm, relationship, and reflection. This is a pedagogy that centers process over product, connection over hierarchy, and healing over performance. It challenges Western academic conventions that often separate mind from body, theory from practice, and emotion from analysis. Instead, it invites the reader into a learning space that is accountable, relational, and alive. For Indigenous readers, especially those who have felt alienated in academic spaces, this approach feels like home. It reminds us that our ways of knowing are not only valid, but vital–and that learning can be a form of ceremony, remembrance, and resurgence. For educators, scholars, and </w:t>
      </w:r>
      <w:r>
        <w:lastRenderedPageBreak/>
        <w:t>practitioners who work with and in Indigenous communities, this book is an invaluable resource. We are often asked to practice cultural sensitivity within systems that offer little to no culturally rooted frameworks. This book offers those tools.</w:t>
      </w:r>
    </w:p>
    <w:p w14:paraId="6D2FA92F" w14:textId="77777777" w:rsidR="004B487C" w:rsidRDefault="00000000">
      <w:pPr>
        <w:spacing w:after="0" w:line="480" w:lineRule="auto"/>
        <w:rPr>
          <w:b/>
          <w:bCs/>
        </w:rPr>
      </w:pPr>
      <w:r>
        <w:t xml:space="preserve">This book sparked many questions and areas of future learning. Two stand out for me. First, I want to learn more about how Indigenous Critical Disability Theory (ICDT) might be adapted for Pacific Islander contexts. ICDT critiques settler definitions of disability and calls for frameworks based on relationality and sovereignty. How might Native Hawaiian thinkers expand this to reflect our own values, practices, and genealogies of care and wellness? What would a Native Hawaiian disability framework look like, rooted in cultural protocol and kinship? Second, I would like to explore how Native communities in the Pacific are reclaiming Indigenous sign languages and communication methods as tools for inclusion. The section on Plains Indian Sign Language, for example, reminded me of Hawaiian Sign Language (HSL) and its near disappearance. What would it look like to have HSL integrated into the State of </w:t>
      </w:r>
      <w:proofErr w:type="spellStart"/>
      <w:r>
        <w:t>Hawaiʻi’s</w:t>
      </w:r>
      <w:proofErr w:type="spellEnd"/>
      <w:r>
        <w:t xml:space="preserve"> Department of Education classrooms, ceremonies, and community life, not as accommodation, but as continuation?</w:t>
      </w:r>
    </w:p>
    <w:p w14:paraId="587A67E2" w14:textId="77777777" w:rsidR="004B487C" w:rsidRDefault="00000000">
      <w:pPr>
        <w:spacing w:after="0" w:line="480" w:lineRule="auto"/>
        <w:ind w:firstLine="0"/>
        <w:jc w:val="center"/>
        <w:rPr>
          <w:b/>
          <w:bCs/>
        </w:rPr>
      </w:pPr>
      <w:r>
        <w:rPr>
          <w:b/>
          <w:bCs/>
        </w:rPr>
        <w:t>Conclusion</w:t>
      </w:r>
    </w:p>
    <w:p w14:paraId="6AF03406" w14:textId="77777777" w:rsidR="004B487C" w:rsidRDefault="00000000">
      <w:pPr>
        <w:spacing w:after="0" w:line="480" w:lineRule="auto"/>
      </w:pPr>
      <w:r w:rsidRPr="00477DF5">
        <w:rPr>
          <w:i/>
          <w:iCs/>
        </w:rPr>
        <w:t>Indigenous Disability Studies</w:t>
      </w:r>
      <w:r>
        <w:t xml:space="preserve"> is a transformative book. It challenges colonial definitions of disability, uplifts Indigenous wisdom, and offers a future rooted in resistance, cultural resurgence, and care. For me, it was more than an academic text. It was a ceremony of unlearning colonial framings of disability and reconnecting with frameworks grounded in ancestral knowledge, community accountability, and self-determination. It affirmed what I know to be true as a Native Hawaiian: that difference is not a deficit, and that our </w:t>
      </w:r>
      <w:proofErr w:type="spellStart"/>
      <w:r>
        <w:t>kūpuna</w:t>
      </w:r>
      <w:proofErr w:type="spellEnd"/>
      <w:r>
        <w:t xml:space="preserve"> left us with everything we need to care for one another.</w:t>
      </w:r>
    </w:p>
    <w:p w14:paraId="1C08ABBD" w14:textId="77777777" w:rsidR="004B487C" w:rsidRDefault="00000000">
      <w:pPr>
        <w:spacing w:after="0" w:line="480" w:lineRule="auto"/>
      </w:pPr>
      <w:r>
        <w:t xml:space="preserve">For Native Hawaiian and other Indigenous communities still navigating the legacies </w:t>
      </w:r>
      <w:r>
        <w:lastRenderedPageBreak/>
        <w:t>of colonization, forced assimilation, and systemic inequities, this book offers both a mirror and a guide. It also calls those of us in academia to be more intentional in how we teach, research, and support Indigenous students with disabilities—not through the lens of accommodation alone, but through approaches that honor their full identities, histories, and cultural contributions.</w:t>
      </w:r>
    </w:p>
    <w:p w14:paraId="13B1382C" w14:textId="77777777" w:rsidR="004B487C" w:rsidRDefault="00000000">
      <w:pPr>
        <w:spacing w:after="0" w:line="480" w:lineRule="auto"/>
      </w:pPr>
      <w:r>
        <w:t xml:space="preserve">This is a vital offering for anyone working toward disability justice through a culturally accountable lens–especially those in disability services, Indigenous education, public policy, or social work. It invites us to </w:t>
      </w:r>
      <w:proofErr w:type="spellStart"/>
      <w:r>
        <w:t>mālama</w:t>
      </w:r>
      <w:proofErr w:type="spellEnd"/>
      <w:r>
        <w:t xml:space="preserve"> not only each other, but also our </w:t>
      </w:r>
      <w:proofErr w:type="spellStart"/>
      <w:r>
        <w:t>moʻolelo</w:t>
      </w:r>
      <w:proofErr w:type="spellEnd"/>
      <w:r>
        <w:t>, our languages, and the systems we are called to rebuild in their honor. Perhaps most importantly, it should be read in community–with space for reflection, dialogue, and connection to our own stories and lands. Because as the text so powerfully reminds us: disability is not brokenness–it is brilliance the system has failed to recognize.</w:t>
      </w:r>
    </w:p>
    <w:p w14:paraId="10C4A08B" w14:textId="77777777" w:rsidR="004B487C" w:rsidRDefault="00000000">
      <w:pPr>
        <w:spacing w:after="0" w:line="480" w:lineRule="auto"/>
        <w:ind w:firstLine="20"/>
        <w:rPr>
          <w:i/>
          <w:iCs/>
        </w:rPr>
      </w:pPr>
      <w:r>
        <w:rPr>
          <w:i/>
          <w:iCs/>
        </w:rPr>
        <w:t>We are not problems to be solved.</w:t>
      </w:r>
    </w:p>
    <w:p w14:paraId="624F9C95" w14:textId="77777777" w:rsidR="004B487C" w:rsidRDefault="00000000">
      <w:pPr>
        <w:spacing w:after="0" w:line="480" w:lineRule="auto"/>
        <w:ind w:firstLine="20"/>
        <w:rPr>
          <w:i/>
          <w:iCs/>
        </w:rPr>
      </w:pPr>
      <w:r>
        <w:rPr>
          <w:i/>
          <w:iCs/>
        </w:rPr>
        <w:t>We are not broken or in need of fixing.</w:t>
      </w:r>
    </w:p>
    <w:p w14:paraId="2336E0CA" w14:textId="77777777" w:rsidR="004B487C" w:rsidRDefault="00000000">
      <w:pPr>
        <w:spacing w:after="0" w:line="480" w:lineRule="auto"/>
        <w:ind w:firstLine="20"/>
        <w:rPr>
          <w:i/>
          <w:iCs/>
        </w:rPr>
      </w:pPr>
      <w:r>
        <w:rPr>
          <w:i/>
          <w:iCs/>
        </w:rPr>
        <w:t>We are not case files, diagnoses, or deficits in a system designed without us.</w:t>
      </w:r>
    </w:p>
    <w:p w14:paraId="0B5A6500" w14:textId="77777777" w:rsidR="004B487C" w:rsidRDefault="00000000">
      <w:pPr>
        <w:spacing w:after="0" w:line="480" w:lineRule="auto"/>
        <w:ind w:firstLine="20"/>
        <w:rPr>
          <w:i/>
          <w:iCs/>
        </w:rPr>
      </w:pPr>
      <w:r>
        <w:rPr>
          <w:i/>
          <w:iCs/>
        </w:rPr>
        <w:t>We are knowledge holders.</w:t>
      </w:r>
    </w:p>
    <w:p w14:paraId="25E16CA5" w14:textId="77777777" w:rsidR="004B487C" w:rsidRDefault="00000000">
      <w:pPr>
        <w:spacing w:after="0" w:line="480" w:lineRule="auto"/>
        <w:ind w:firstLine="20"/>
        <w:rPr>
          <w:i/>
          <w:iCs/>
        </w:rPr>
      </w:pPr>
      <w:r>
        <w:rPr>
          <w:i/>
          <w:iCs/>
        </w:rPr>
        <w:t>We are leaders.</w:t>
      </w:r>
    </w:p>
    <w:p w14:paraId="5411BFE5" w14:textId="77777777" w:rsidR="004B487C" w:rsidRDefault="00000000">
      <w:pPr>
        <w:spacing w:after="0" w:line="480" w:lineRule="auto"/>
        <w:ind w:firstLine="20"/>
        <w:rPr>
          <w:i/>
          <w:iCs/>
        </w:rPr>
      </w:pPr>
      <w:r>
        <w:rPr>
          <w:i/>
          <w:iCs/>
        </w:rPr>
        <w:t xml:space="preserve">We are the evidence of our </w:t>
      </w:r>
      <w:proofErr w:type="spellStart"/>
      <w:r>
        <w:rPr>
          <w:i/>
          <w:iCs/>
        </w:rPr>
        <w:t>kūpuna’s</w:t>
      </w:r>
      <w:proofErr w:type="spellEnd"/>
      <w:r>
        <w:rPr>
          <w:i/>
          <w:iCs/>
        </w:rPr>
        <w:t xml:space="preserve"> endurance.</w:t>
      </w:r>
    </w:p>
    <w:p w14:paraId="47FB98BF" w14:textId="77777777" w:rsidR="004B487C" w:rsidRDefault="00000000">
      <w:pPr>
        <w:spacing w:after="0" w:line="480" w:lineRule="auto"/>
        <w:ind w:firstLine="20"/>
        <w:rPr>
          <w:i/>
          <w:iCs/>
        </w:rPr>
      </w:pPr>
      <w:r>
        <w:rPr>
          <w:i/>
          <w:iCs/>
        </w:rPr>
        <w:t>We are their wildest dreams.</w:t>
      </w:r>
    </w:p>
    <w:p w14:paraId="1A1FA816" w14:textId="77777777" w:rsidR="004B487C" w:rsidRDefault="00000000">
      <w:pPr>
        <w:spacing w:after="0" w:line="480" w:lineRule="auto"/>
        <w:ind w:firstLine="20"/>
        <w:rPr>
          <w:i/>
          <w:iCs/>
        </w:rPr>
      </w:pPr>
      <w:r>
        <w:rPr>
          <w:i/>
          <w:iCs/>
        </w:rPr>
        <w:t>We are change makers, reclaiming what has always been ours.</w:t>
      </w:r>
    </w:p>
    <w:p w14:paraId="4B801F85" w14:textId="77777777" w:rsidR="004B487C" w:rsidRDefault="00000000">
      <w:pPr>
        <w:spacing w:after="0" w:line="480" w:lineRule="auto"/>
        <w:ind w:firstLine="20"/>
        <w:rPr>
          <w:i/>
          <w:iCs/>
        </w:rPr>
      </w:pPr>
      <w:r>
        <w:rPr>
          <w:i/>
          <w:iCs/>
        </w:rPr>
        <w:t>We were never the problem.</w:t>
      </w:r>
    </w:p>
    <w:p w14:paraId="0D460EC1" w14:textId="77777777" w:rsidR="004B487C" w:rsidRDefault="00000000">
      <w:pPr>
        <w:spacing w:after="0" w:line="480" w:lineRule="auto"/>
        <w:ind w:firstLine="20"/>
      </w:pPr>
      <w:r>
        <w:t xml:space="preserve"> </w:t>
      </w:r>
    </w:p>
    <w:p w14:paraId="53B0C8FF" w14:textId="77777777" w:rsidR="004B487C" w:rsidRDefault="004B487C">
      <w:pPr>
        <w:spacing w:after="0" w:line="480" w:lineRule="auto"/>
        <w:ind w:firstLine="0"/>
      </w:pPr>
    </w:p>
    <w:p w14:paraId="401BB208" w14:textId="77777777" w:rsidR="004B487C" w:rsidRDefault="004B487C">
      <w:pPr>
        <w:spacing w:after="0" w:line="480" w:lineRule="auto"/>
        <w:ind w:firstLine="0"/>
        <w:rPr>
          <w:b/>
          <w:bCs/>
        </w:rPr>
      </w:pPr>
    </w:p>
    <w:p w14:paraId="0189BD1E" w14:textId="77777777" w:rsidR="004B487C" w:rsidRDefault="004B487C">
      <w:pPr>
        <w:spacing w:after="0" w:line="480" w:lineRule="auto"/>
        <w:ind w:firstLine="0"/>
        <w:rPr>
          <w:b/>
          <w:bCs/>
        </w:rPr>
      </w:pPr>
    </w:p>
    <w:p w14:paraId="1C28E412" w14:textId="77777777" w:rsidR="004B487C" w:rsidRDefault="004B487C">
      <w:pPr>
        <w:spacing w:after="0" w:line="480" w:lineRule="auto"/>
        <w:ind w:firstLine="0"/>
        <w:rPr>
          <w:b/>
          <w:bCs/>
        </w:rPr>
      </w:pPr>
    </w:p>
    <w:p w14:paraId="67C2348B" w14:textId="77777777" w:rsidR="004B487C" w:rsidRDefault="00000000" w:rsidP="00432B04">
      <w:pPr>
        <w:spacing w:after="0" w:line="480" w:lineRule="auto"/>
        <w:ind w:firstLine="0"/>
        <w:jc w:val="center"/>
        <w:rPr>
          <w:b/>
          <w:bCs/>
        </w:rPr>
      </w:pPr>
      <w:r>
        <w:rPr>
          <w:b/>
          <w:bCs/>
        </w:rPr>
        <w:t>References</w:t>
      </w:r>
    </w:p>
    <w:p w14:paraId="2066B212" w14:textId="53A1D9A9" w:rsidR="004B487C" w:rsidRDefault="00000000">
      <w:pPr>
        <w:spacing w:after="0" w:line="480" w:lineRule="auto"/>
        <w:ind w:firstLine="0"/>
        <w:rPr>
          <w:color w:val="1155CC"/>
          <w:u w:val="single"/>
        </w:rPr>
      </w:pPr>
      <w:r>
        <w:t xml:space="preserve">Ward, J. T. (Ed.). (2025). </w:t>
      </w:r>
      <w:r>
        <w:rPr>
          <w:i/>
          <w:iCs/>
        </w:rPr>
        <w:t>Indigenous Disability Studies.</w:t>
      </w:r>
      <w:r>
        <w:t xml:space="preserve"> Routledge.</w:t>
      </w:r>
      <w:hyperlink r:id="rId68">
        <w:r>
          <w:t xml:space="preserve"> </w:t>
        </w:r>
      </w:hyperlink>
      <w:r>
        <w:tab/>
      </w:r>
      <w:hyperlink r:id="rId69" w:history="1">
        <w:r w:rsidRPr="001223A3">
          <w:rPr>
            <w:rStyle w:val="Hyperlink"/>
          </w:rPr>
          <w:t>https://doi.org/10.4324/9781032656519</w:t>
        </w:r>
      </w:hyperlink>
    </w:p>
    <w:p w14:paraId="1ECA182F" w14:textId="77777777" w:rsidR="004B487C" w:rsidRDefault="004B487C">
      <w:pPr>
        <w:spacing w:before="240" w:after="240" w:line="480" w:lineRule="auto"/>
        <w:ind w:firstLine="0"/>
        <w:jc w:val="center"/>
        <w:rPr>
          <w:rFonts w:ascii="Arial" w:eastAsia="Arial" w:hAnsi="Arial" w:cs="Arial"/>
        </w:rPr>
      </w:pPr>
    </w:p>
    <w:p w14:paraId="4A0E8D07" w14:textId="77777777" w:rsidR="004B487C" w:rsidRDefault="004B487C">
      <w:pPr>
        <w:pStyle w:val="Heading1"/>
        <w:rPr>
          <w:b w:val="0"/>
          <w:bCs w:val="0"/>
        </w:rPr>
      </w:pPr>
    </w:p>
    <w:p w14:paraId="2B452A19" w14:textId="77777777" w:rsidR="004B487C" w:rsidRDefault="004B487C">
      <w:pPr>
        <w:spacing w:line="480" w:lineRule="auto"/>
        <w:jc w:val="center"/>
        <w:rPr>
          <w:b/>
          <w:bCs/>
        </w:rPr>
      </w:pPr>
    </w:p>
    <w:p w14:paraId="176CD1C8" w14:textId="77777777" w:rsidR="004B487C" w:rsidRDefault="004B487C">
      <w:pPr>
        <w:spacing w:line="480" w:lineRule="auto"/>
        <w:jc w:val="center"/>
        <w:rPr>
          <w:b/>
          <w:bCs/>
        </w:rPr>
      </w:pPr>
    </w:p>
    <w:p w14:paraId="44B8B12F" w14:textId="77777777" w:rsidR="004B487C" w:rsidRDefault="004B487C">
      <w:pPr>
        <w:spacing w:line="480" w:lineRule="auto"/>
        <w:ind w:firstLine="0"/>
      </w:pPr>
    </w:p>
    <w:p w14:paraId="7C723582" w14:textId="77777777" w:rsidR="004B487C" w:rsidRDefault="004B487C">
      <w:pPr>
        <w:spacing w:line="480" w:lineRule="auto"/>
        <w:ind w:firstLine="0"/>
      </w:pPr>
    </w:p>
    <w:p w14:paraId="59F48E25" w14:textId="77777777" w:rsidR="004B487C" w:rsidRDefault="004B487C">
      <w:pPr>
        <w:spacing w:line="480" w:lineRule="auto"/>
        <w:ind w:firstLine="0"/>
      </w:pPr>
    </w:p>
    <w:p w14:paraId="15FE0F84" w14:textId="77777777" w:rsidR="004B487C" w:rsidRDefault="00000000">
      <w:pPr>
        <w:pStyle w:val="Heading1"/>
        <w:jc w:val="left"/>
      </w:pPr>
      <w:r>
        <w:rPr>
          <w:noProof/>
          <w:color w:val="000000"/>
        </w:rPr>
        <w:drawing>
          <wp:inline distT="0" distB="0" distL="0" distR="0" wp14:anchorId="4EA5E7E9" wp14:editId="4DBEAEE2">
            <wp:extent cx="1016000" cy="186055"/>
            <wp:effectExtent l="0" t="0" r="0" b="0"/>
            <wp:docPr id="10" name="image1.png" descr="Creative Commons CC:BY logo"/>
            <wp:cNvGraphicFramePr/>
            <a:graphic xmlns:a="http://schemas.openxmlformats.org/drawingml/2006/main">
              <a:graphicData uri="http://schemas.openxmlformats.org/drawingml/2006/picture">
                <pic:pic xmlns:pic="http://schemas.openxmlformats.org/drawingml/2006/picture">
                  <pic:nvPicPr>
                    <pic:cNvPr id="10" name="image1.png" descr="Creative Commons CC:BY logo"/>
                    <pic:cNvPicPr preferRelativeResize="0"/>
                  </pic:nvPicPr>
                  <pic:blipFill>
                    <a:blip r:embed="rId7"/>
                    <a:srcRect/>
                    <a:stretch>
                      <a:fillRect/>
                    </a:stretch>
                  </pic:blipFill>
                  <pic:spPr>
                    <a:xfrm>
                      <a:off x="0" y="0"/>
                      <a:ext cx="1016000" cy="186055"/>
                    </a:xfrm>
                    <a:prstGeom prst="rect">
                      <a:avLst/>
                    </a:prstGeom>
                    <a:ln/>
                  </pic:spPr>
                </pic:pic>
              </a:graphicData>
            </a:graphic>
          </wp:inline>
        </w:drawing>
      </w:r>
      <w:r>
        <w:rPr>
          <w:color w:val="000000"/>
        </w:rPr>
        <w:t xml:space="preserve"> </w:t>
      </w:r>
      <w:r>
        <w:t xml:space="preserve">We Were Never the Problem: Reclaiming Disability Through </w:t>
      </w:r>
      <w:r w:rsidRPr="00432B04">
        <w:t xml:space="preserve">Indigenous Worldviews A Review of </w:t>
      </w:r>
      <w:r w:rsidRPr="00432B04">
        <w:rPr>
          <w:i/>
          <w:iCs/>
        </w:rPr>
        <w:t>Indigenous Disability Studies</w:t>
      </w:r>
      <w:r w:rsidRPr="00432B04">
        <w:t>, edited by John T. Ward,</w:t>
      </w:r>
      <w:r w:rsidRPr="00432B04">
        <w:rPr>
          <w:b w:val="0"/>
          <w:bCs w:val="0"/>
        </w:rPr>
        <w:t xml:space="preserve"> by </w:t>
      </w:r>
      <w:proofErr w:type="spellStart"/>
      <w:r w:rsidRPr="00432B04">
        <w:rPr>
          <w:b w:val="0"/>
          <w:bCs w:val="0"/>
          <w:highlight w:val="white"/>
        </w:rPr>
        <w:t>Kenika</w:t>
      </w:r>
      <w:proofErr w:type="spellEnd"/>
      <w:r w:rsidRPr="00432B04">
        <w:rPr>
          <w:b w:val="0"/>
          <w:bCs w:val="0"/>
          <w:highlight w:val="white"/>
        </w:rPr>
        <w:t xml:space="preserve"> Lorenzo-</w:t>
      </w:r>
      <w:proofErr w:type="spellStart"/>
      <w:r w:rsidRPr="00432B04">
        <w:rPr>
          <w:b w:val="0"/>
          <w:bCs w:val="0"/>
          <w:highlight w:val="white"/>
        </w:rPr>
        <w:t>Elarco</w:t>
      </w:r>
      <w:proofErr w:type="spellEnd"/>
      <w:r w:rsidRPr="00432B04">
        <w:rPr>
          <w:b w:val="0"/>
          <w:bCs w:val="0"/>
          <w:highlight w:val="white"/>
        </w:rPr>
        <w:t xml:space="preserve"> </w:t>
      </w:r>
      <w:hyperlink r:id="rId70">
        <w:r w:rsidRPr="00432B04">
          <w:rPr>
            <w:b w:val="0"/>
            <w:bCs w:val="0"/>
            <w:color w:val="0000FF"/>
            <w:u w:val="single"/>
          </w:rPr>
          <w:t>https://rdsjournal.org/index.php/journal/article/view/</w:t>
        </w:r>
      </w:hyperlink>
      <w:r w:rsidRPr="00432B04">
        <w:rPr>
          <w:b w:val="0"/>
          <w:bCs w:val="0"/>
          <w:color w:val="0000FF"/>
          <w:u w:val="single"/>
        </w:rPr>
        <w:t>1410</w:t>
      </w:r>
      <w:r w:rsidRPr="00432B04">
        <w:rPr>
          <w:b w:val="0"/>
          <w:bCs w:val="0"/>
        </w:rPr>
        <w:t xml:space="preserve"> is</w:t>
      </w:r>
      <w:r w:rsidRPr="00432B04">
        <w:rPr>
          <w:b w:val="0"/>
          <w:bCs w:val="0"/>
          <w:color w:val="000000"/>
        </w:rPr>
        <w:t xml:space="preserve"> licensed under a</w:t>
      </w:r>
      <w:hyperlink r:id="rId71">
        <w:r w:rsidRPr="00432B04">
          <w:rPr>
            <w:b w:val="0"/>
            <w:bCs w:val="0"/>
            <w:color w:val="3C78D8"/>
            <w:u w:val="single"/>
          </w:rPr>
          <w:t xml:space="preserve"> </w:t>
        </w:r>
      </w:hyperlink>
      <w:hyperlink r:id="rId72">
        <w:r w:rsidRPr="00432B04">
          <w:rPr>
            <w:b w:val="0"/>
            <w:bCs w:val="0"/>
            <w:color w:val="0000FF"/>
            <w:u w:val="single"/>
          </w:rPr>
          <w:t>Creative Commons Attribution 4.0 International License</w:t>
        </w:r>
      </w:hyperlink>
      <w:r w:rsidRPr="00432B04">
        <w:rPr>
          <w:b w:val="0"/>
          <w:bCs w:val="0"/>
          <w:color w:val="0000FF"/>
        </w:rPr>
        <w:t xml:space="preserve"> </w:t>
      </w:r>
      <w:r w:rsidRPr="00432B04">
        <w:rPr>
          <w:b w:val="0"/>
          <w:bCs w:val="0"/>
          <w:color w:val="000000"/>
        </w:rPr>
        <w:t xml:space="preserve">based on a work at </w:t>
      </w:r>
      <w:hyperlink r:id="rId73">
        <w:r w:rsidRPr="00432B04">
          <w:rPr>
            <w:b w:val="0"/>
            <w:bCs w:val="0"/>
            <w:color w:val="0000FF"/>
            <w:u w:val="single"/>
          </w:rPr>
          <w:t>https://rdsjournal.org</w:t>
        </w:r>
      </w:hyperlink>
      <w:r w:rsidRPr="00432B04">
        <w:rPr>
          <w:b w:val="0"/>
          <w:bCs w:val="0"/>
          <w:color w:val="000000"/>
        </w:rPr>
        <w:t>.</w:t>
      </w:r>
    </w:p>
    <w:p w14:paraId="78F70419" w14:textId="77777777" w:rsidR="004B487C" w:rsidRDefault="004B487C">
      <w:pPr>
        <w:pStyle w:val="Heading1"/>
        <w:spacing w:before="240" w:after="240" w:line="480" w:lineRule="auto"/>
        <w:rPr>
          <w:rFonts w:ascii="Arial" w:eastAsia="Arial" w:hAnsi="Arial" w:cs="Arial"/>
        </w:rPr>
      </w:pPr>
    </w:p>
    <w:p w14:paraId="34304D44" w14:textId="77777777" w:rsidR="00477DF5" w:rsidRDefault="00477DF5" w:rsidP="00477DF5">
      <w:pPr>
        <w:rPr>
          <w:rFonts w:eastAsia="Arial"/>
        </w:rPr>
      </w:pPr>
    </w:p>
    <w:p w14:paraId="701B8732" w14:textId="77777777" w:rsidR="00477DF5" w:rsidRDefault="00477DF5" w:rsidP="00477DF5">
      <w:pPr>
        <w:rPr>
          <w:rFonts w:eastAsia="Arial"/>
        </w:rPr>
      </w:pPr>
    </w:p>
    <w:p w14:paraId="0CF6136B" w14:textId="77777777" w:rsidR="00477DF5" w:rsidRDefault="00477DF5" w:rsidP="00477DF5">
      <w:pPr>
        <w:rPr>
          <w:rFonts w:eastAsia="Arial"/>
        </w:rPr>
      </w:pPr>
    </w:p>
    <w:p w14:paraId="41603FF7" w14:textId="77777777" w:rsidR="00477DF5" w:rsidRDefault="00477DF5" w:rsidP="00477DF5">
      <w:pPr>
        <w:rPr>
          <w:rFonts w:eastAsia="Arial"/>
        </w:rPr>
      </w:pPr>
    </w:p>
    <w:p w14:paraId="48532501" w14:textId="77777777" w:rsidR="00477DF5" w:rsidRPr="00477DF5" w:rsidRDefault="00477DF5" w:rsidP="00477DF5">
      <w:pPr>
        <w:rPr>
          <w:rFonts w:eastAsia="Arial"/>
        </w:rPr>
      </w:pPr>
    </w:p>
    <w:p w14:paraId="211C43F2" w14:textId="77777777" w:rsidR="00477DF5" w:rsidRDefault="00477DF5">
      <w:pPr>
        <w:pStyle w:val="Heading1"/>
        <w:spacing w:before="240" w:after="240" w:line="480" w:lineRule="auto"/>
        <w:rPr>
          <w:rFonts w:ascii="Arial" w:eastAsia="Arial" w:hAnsi="Arial" w:cs="Arial"/>
        </w:rPr>
      </w:pPr>
    </w:p>
    <w:p w14:paraId="376539A7" w14:textId="1D339772" w:rsidR="004B487C" w:rsidRDefault="00477DF5">
      <w:pPr>
        <w:pStyle w:val="Heading1"/>
        <w:spacing w:before="240" w:after="240" w:line="480" w:lineRule="auto"/>
        <w:rPr>
          <w:rFonts w:ascii="Arial" w:eastAsia="Arial" w:hAnsi="Arial" w:cs="Arial"/>
        </w:rPr>
      </w:pPr>
      <w:r>
        <w:rPr>
          <w:rFonts w:ascii="Arial" w:eastAsia="Arial" w:hAnsi="Arial" w:cs="Arial"/>
        </w:rPr>
        <w:t>Book Review</w:t>
      </w:r>
    </w:p>
    <w:p w14:paraId="41619E33" w14:textId="77777777" w:rsidR="004B487C" w:rsidRDefault="00000000">
      <w:pPr>
        <w:pStyle w:val="Heading1"/>
        <w:spacing w:before="240" w:after="0"/>
        <w:rPr>
          <w:b w:val="0"/>
          <w:bCs w:val="0"/>
        </w:rPr>
      </w:pPr>
      <w:r>
        <w:rPr>
          <w:b w:val="0"/>
          <w:bCs w:val="0"/>
        </w:rPr>
        <w:t xml:space="preserve"> </w:t>
      </w:r>
    </w:p>
    <w:p w14:paraId="58FEDEE5" w14:textId="77777777" w:rsidR="004B487C" w:rsidRDefault="00000000">
      <w:pPr>
        <w:pStyle w:val="Heading1"/>
        <w:spacing w:before="240" w:after="240" w:line="480" w:lineRule="auto"/>
        <w:jc w:val="both"/>
        <w:rPr>
          <w:b w:val="0"/>
          <w:bCs w:val="0"/>
        </w:rPr>
      </w:pPr>
      <w:r>
        <w:t>Disability, Sexuality, and Gender in Asia: Intersectionality, Human Rights, and the Law</w:t>
      </w:r>
      <w:r>
        <w:rPr>
          <w:b w:val="0"/>
          <w:bCs w:val="0"/>
        </w:rPr>
        <w:t xml:space="preserve"> </w:t>
      </w:r>
    </w:p>
    <w:p w14:paraId="44B9E543" w14:textId="77777777" w:rsidR="004B487C" w:rsidRDefault="00000000">
      <w:pPr>
        <w:pStyle w:val="Heading1"/>
        <w:keepNext w:val="0"/>
        <w:keepLines w:val="0"/>
        <w:spacing w:after="0" w:line="480" w:lineRule="auto"/>
        <w:rPr>
          <w:b w:val="0"/>
          <w:bCs w:val="0"/>
        </w:rPr>
      </w:pPr>
      <w:r>
        <w:rPr>
          <w:b w:val="0"/>
          <w:bCs w:val="0"/>
        </w:rPr>
        <w:t>Ratan Sarkar</w:t>
      </w:r>
    </w:p>
    <w:p w14:paraId="2A9D0EA9" w14:textId="77777777" w:rsidR="004B487C" w:rsidRDefault="00000000">
      <w:pPr>
        <w:pStyle w:val="Heading1"/>
        <w:keepNext w:val="0"/>
        <w:keepLines w:val="0"/>
        <w:spacing w:after="0" w:line="480" w:lineRule="auto"/>
        <w:rPr>
          <w:b w:val="0"/>
          <w:bCs w:val="0"/>
        </w:rPr>
      </w:pPr>
      <w:r>
        <w:rPr>
          <w:b w:val="0"/>
          <w:bCs w:val="0"/>
        </w:rPr>
        <w:t>Department of Education, Tezpur University</w:t>
      </w:r>
    </w:p>
    <w:p w14:paraId="664842A2" w14:textId="77777777" w:rsidR="004B487C" w:rsidRDefault="00000000">
      <w:pPr>
        <w:pStyle w:val="Heading1"/>
        <w:spacing w:before="240" w:after="240"/>
        <w:rPr>
          <w:b w:val="0"/>
          <w:bCs w:val="0"/>
        </w:rPr>
      </w:pPr>
      <w:r>
        <w:rPr>
          <w:b w:val="0"/>
          <w:bCs w:val="0"/>
        </w:rPr>
        <w:br/>
      </w:r>
      <w:r>
        <w:rPr>
          <w:b w:val="0"/>
          <w:bCs w:val="0"/>
        </w:rPr>
        <w:br/>
      </w:r>
    </w:p>
    <w:p w14:paraId="7D312780" w14:textId="77777777" w:rsidR="004B487C" w:rsidRDefault="00000000">
      <w:pPr>
        <w:pStyle w:val="Heading1"/>
        <w:spacing w:before="240" w:after="240" w:line="480" w:lineRule="auto"/>
      </w:pPr>
      <w:r>
        <w:t xml:space="preserve"> </w:t>
      </w:r>
    </w:p>
    <w:p w14:paraId="61C553DB" w14:textId="77777777" w:rsidR="004B487C" w:rsidRDefault="00000000">
      <w:pPr>
        <w:pStyle w:val="Heading1"/>
        <w:spacing w:before="240" w:after="240" w:line="480" w:lineRule="auto"/>
      </w:pPr>
      <w:r>
        <w:t xml:space="preserve">  </w:t>
      </w:r>
    </w:p>
    <w:p w14:paraId="6A2EEA39" w14:textId="77777777" w:rsidR="004B487C" w:rsidRDefault="004B487C">
      <w:pPr>
        <w:pStyle w:val="Heading1"/>
        <w:keepNext w:val="0"/>
        <w:keepLines w:val="0"/>
        <w:spacing w:after="0" w:line="480" w:lineRule="auto"/>
      </w:pPr>
    </w:p>
    <w:p w14:paraId="24DC7B9A" w14:textId="77777777" w:rsidR="004B487C" w:rsidRDefault="00000000">
      <w:pPr>
        <w:pStyle w:val="Heading1"/>
        <w:keepNext w:val="0"/>
        <w:keepLines w:val="0"/>
        <w:spacing w:after="0" w:line="480" w:lineRule="auto"/>
      </w:pPr>
      <w:r>
        <w:t>Author Note</w:t>
      </w:r>
    </w:p>
    <w:p w14:paraId="397E9631" w14:textId="77777777" w:rsidR="004B487C" w:rsidRDefault="00000000">
      <w:pPr>
        <w:pStyle w:val="Heading1"/>
        <w:keepNext w:val="0"/>
        <w:keepLines w:val="0"/>
        <w:spacing w:after="0" w:line="480" w:lineRule="auto"/>
        <w:ind w:firstLine="720"/>
        <w:jc w:val="left"/>
      </w:pPr>
      <w:r>
        <w:rPr>
          <w:b w:val="0"/>
          <w:bCs w:val="0"/>
        </w:rPr>
        <w:t xml:space="preserve">The author expresses sincere gratitude to the editors of </w:t>
      </w:r>
      <w:r>
        <w:rPr>
          <w:b w:val="0"/>
          <w:bCs w:val="0"/>
          <w:i/>
          <w:iCs/>
        </w:rPr>
        <w:t>Disability, Sexuality, and Gender in Asia: Intersectionality, Human Rights, and the Law</w:t>
      </w:r>
      <w:r>
        <w:rPr>
          <w:b w:val="0"/>
          <w:bCs w:val="0"/>
        </w:rPr>
        <w:t xml:space="preserve"> for their commitment to advancing intersectional disability studies, and to Routledge, Taylor &amp; Francis Group, for making this important work accessible to a wide scholarly and activist readership. The author also thanks the editorial team of the journal for their kind consideration of this review, and gratefully acknowledges colleagues and peers who offered valuable suggestions and constructive feedback that enriched and supported the completion of this work. No potential conflict of interest was reported by the author. The author received no financial support for the research, authorship, and/or publication of this book review.</w:t>
      </w:r>
    </w:p>
    <w:p w14:paraId="4854A812" w14:textId="77777777" w:rsidR="004B487C" w:rsidRDefault="00000000">
      <w:pPr>
        <w:pStyle w:val="Heading1"/>
        <w:keepNext w:val="0"/>
        <w:keepLines w:val="0"/>
        <w:spacing w:after="0" w:line="480" w:lineRule="auto"/>
      </w:pPr>
      <w:r>
        <w:lastRenderedPageBreak/>
        <w:t>Abstract</w:t>
      </w:r>
    </w:p>
    <w:p w14:paraId="72C0A54F" w14:textId="77777777" w:rsidR="004B487C" w:rsidRDefault="00000000">
      <w:pPr>
        <w:pStyle w:val="Heading1"/>
        <w:keepNext w:val="0"/>
        <w:keepLines w:val="0"/>
        <w:spacing w:after="0" w:line="480" w:lineRule="auto"/>
        <w:jc w:val="left"/>
        <w:rPr>
          <w:b w:val="0"/>
          <w:bCs w:val="0"/>
        </w:rPr>
      </w:pPr>
      <w:r>
        <w:rPr>
          <w:b w:val="0"/>
          <w:bCs w:val="0"/>
        </w:rPr>
        <w:t xml:space="preserve">This review essay critically examines </w:t>
      </w:r>
      <w:r>
        <w:rPr>
          <w:b w:val="0"/>
          <w:bCs w:val="0"/>
          <w:i/>
          <w:iCs/>
        </w:rPr>
        <w:t>Disability, Sexuality, and Gender in Asia: Intersectionality, Human Rights, and the Law</w:t>
      </w:r>
      <w:r>
        <w:rPr>
          <w:b w:val="0"/>
          <w:bCs w:val="0"/>
        </w:rPr>
        <w:t xml:space="preserve"> (Zhang et al., 2024), a groundbreaking volume that repositions Asia as a vital site of disability scholarship and activism. Framed by intersectionality, the book explores how disability intersects with gender and sexuality across contexts in Vietnam, China, Nepal, Myanmar, and Japan. Through participatory methodologies, it highlights stigma, exclusion, and violence, while also foregrounding agency, pride, and collective resistance. Strengths lie in its empirical depth, activist engagement, and interdisciplinary approach; limitations include its restricted geographical scope and limited theorization of policy implementation. Overall, the volume makes a significant contribution to disability justice, advancing scholarship, policy reflection, and activist practice in the Global South.</w:t>
      </w:r>
    </w:p>
    <w:p w14:paraId="6392C1AE" w14:textId="5597FD8F" w:rsidR="004B487C" w:rsidRPr="004E4890" w:rsidRDefault="00000000" w:rsidP="004E4890">
      <w:pPr>
        <w:pStyle w:val="Heading1"/>
        <w:keepNext w:val="0"/>
        <w:keepLines w:val="0"/>
        <w:spacing w:after="0" w:line="480" w:lineRule="auto"/>
        <w:ind w:firstLine="720"/>
        <w:jc w:val="left"/>
        <w:rPr>
          <w:b w:val="0"/>
          <w:bCs w:val="0"/>
        </w:rPr>
      </w:pPr>
      <w:r>
        <w:rPr>
          <w:b w:val="0"/>
          <w:bCs w:val="0"/>
          <w:i/>
          <w:iCs/>
        </w:rPr>
        <w:t xml:space="preserve">Keywords: </w:t>
      </w:r>
      <w:r w:rsidRPr="004E4890">
        <w:rPr>
          <w:b w:val="0"/>
          <w:bCs w:val="0"/>
        </w:rPr>
        <w:t>Disability, Intersectionality, Gender, Sexuality, Human Rights</w:t>
      </w:r>
    </w:p>
    <w:p w14:paraId="101D2554" w14:textId="77777777" w:rsidR="004B487C" w:rsidRDefault="00000000">
      <w:pPr>
        <w:pStyle w:val="Heading1"/>
        <w:keepNext w:val="0"/>
        <w:keepLines w:val="0"/>
        <w:spacing w:after="0"/>
        <w:rPr>
          <w:b w:val="0"/>
          <w:bCs w:val="0"/>
          <w:i/>
          <w:iCs/>
        </w:rPr>
      </w:pPr>
      <w:r>
        <w:rPr>
          <w:b w:val="0"/>
          <w:bCs w:val="0"/>
          <w:i/>
          <w:iCs/>
        </w:rPr>
        <w:br/>
      </w:r>
      <w:r>
        <w:rPr>
          <w:b w:val="0"/>
          <w:bCs w:val="0"/>
          <w:i/>
          <w:iCs/>
        </w:rPr>
        <w:br/>
      </w:r>
    </w:p>
    <w:p w14:paraId="492DB752" w14:textId="77777777" w:rsidR="004B487C" w:rsidRDefault="004B487C">
      <w:pPr>
        <w:pStyle w:val="Heading1"/>
        <w:keepNext w:val="0"/>
        <w:keepLines w:val="0"/>
        <w:spacing w:after="0"/>
      </w:pPr>
    </w:p>
    <w:p w14:paraId="79DE9A47" w14:textId="77777777" w:rsidR="004B487C" w:rsidRDefault="004B487C">
      <w:pPr>
        <w:pStyle w:val="Heading1"/>
        <w:keepNext w:val="0"/>
        <w:keepLines w:val="0"/>
        <w:spacing w:after="0"/>
      </w:pPr>
    </w:p>
    <w:p w14:paraId="6BD19FA9" w14:textId="77777777" w:rsidR="004B487C" w:rsidRDefault="004B487C">
      <w:pPr>
        <w:pStyle w:val="Heading1"/>
        <w:keepNext w:val="0"/>
        <w:keepLines w:val="0"/>
        <w:spacing w:after="0"/>
      </w:pPr>
    </w:p>
    <w:p w14:paraId="63E6F8A0" w14:textId="77777777" w:rsidR="004B487C" w:rsidRDefault="004B487C">
      <w:pPr>
        <w:pStyle w:val="Heading1"/>
        <w:keepNext w:val="0"/>
        <w:keepLines w:val="0"/>
        <w:spacing w:after="0"/>
      </w:pPr>
    </w:p>
    <w:p w14:paraId="2EDCF10F" w14:textId="77777777" w:rsidR="004B487C" w:rsidRDefault="004B487C">
      <w:pPr>
        <w:pStyle w:val="Heading1"/>
        <w:keepNext w:val="0"/>
        <w:keepLines w:val="0"/>
        <w:spacing w:after="0"/>
      </w:pPr>
    </w:p>
    <w:p w14:paraId="6D18AB9B" w14:textId="77777777" w:rsidR="004B487C" w:rsidRDefault="004B487C">
      <w:pPr>
        <w:pStyle w:val="Heading1"/>
        <w:keepNext w:val="0"/>
        <w:keepLines w:val="0"/>
        <w:spacing w:after="0"/>
      </w:pPr>
    </w:p>
    <w:p w14:paraId="667C4D5F" w14:textId="77777777" w:rsidR="004B487C" w:rsidRDefault="004B487C">
      <w:pPr>
        <w:pStyle w:val="Heading1"/>
        <w:keepNext w:val="0"/>
        <w:keepLines w:val="0"/>
        <w:spacing w:after="0"/>
      </w:pPr>
    </w:p>
    <w:p w14:paraId="49B11D4A" w14:textId="77777777" w:rsidR="004B487C" w:rsidRDefault="004B487C">
      <w:pPr>
        <w:pStyle w:val="Heading1"/>
        <w:keepNext w:val="0"/>
        <w:keepLines w:val="0"/>
        <w:spacing w:after="0"/>
      </w:pPr>
    </w:p>
    <w:p w14:paraId="2ABD6950" w14:textId="77777777" w:rsidR="004B487C" w:rsidRDefault="004B487C">
      <w:pPr>
        <w:pStyle w:val="Heading1"/>
        <w:keepNext w:val="0"/>
        <w:keepLines w:val="0"/>
        <w:spacing w:after="0"/>
      </w:pPr>
    </w:p>
    <w:p w14:paraId="3F7DFC34" w14:textId="77777777" w:rsidR="004B487C" w:rsidRDefault="004B487C">
      <w:pPr>
        <w:pStyle w:val="Heading1"/>
        <w:keepNext w:val="0"/>
        <w:keepLines w:val="0"/>
        <w:spacing w:after="0"/>
      </w:pPr>
    </w:p>
    <w:p w14:paraId="5F411E12" w14:textId="77777777" w:rsidR="004B487C" w:rsidRDefault="004B487C">
      <w:pPr>
        <w:pStyle w:val="Heading1"/>
        <w:keepNext w:val="0"/>
        <w:keepLines w:val="0"/>
        <w:spacing w:after="0"/>
      </w:pPr>
    </w:p>
    <w:p w14:paraId="602B87CE" w14:textId="77777777" w:rsidR="004B487C" w:rsidRDefault="004B487C">
      <w:pPr>
        <w:pStyle w:val="Heading1"/>
        <w:keepNext w:val="0"/>
        <w:keepLines w:val="0"/>
        <w:spacing w:after="0"/>
      </w:pPr>
    </w:p>
    <w:p w14:paraId="0105DFED" w14:textId="77777777" w:rsidR="004B487C" w:rsidRDefault="004B487C">
      <w:pPr>
        <w:pStyle w:val="Heading1"/>
        <w:keepNext w:val="0"/>
        <w:keepLines w:val="0"/>
        <w:spacing w:after="0"/>
      </w:pPr>
    </w:p>
    <w:p w14:paraId="596C44C3" w14:textId="77777777" w:rsidR="004B487C" w:rsidRDefault="004B487C">
      <w:pPr>
        <w:pStyle w:val="Heading1"/>
        <w:keepNext w:val="0"/>
        <w:keepLines w:val="0"/>
        <w:spacing w:after="0"/>
      </w:pPr>
    </w:p>
    <w:p w14:paraId="2996D97D" w14:textId="77777777" w:rsidR="004B487C" w:rsidRDefault="004B487C">
      <w:pPr>
        <w:pStyle w:val="Heading1"/>
        <w:keepNext w:val="0"/>
        <w:keepLines w:val="0"/>
        <w:spacing w:after="0"/>
      </w:pPr>
    </w:p>
    <w:p w14:paraId="1B225DE3" w14:textId="77777777" w:rsidR="004B487C" w:rsidRDefault="004B487C">
      <w:pPr>
        <w:pStyle w:val="Heading1"/>
        <w:keepNext w:val="0"/>
        <w:keepLines w:val="0"/>
        <w:spacing w:after="0"/>
      </w:pPr>
    </w:p>
    <w:p w14:paraId="1078A044" w14:textId="77777777" w:rsidR="004B487C" w:rsidRDefault="00000000">
      <w:pPr>
        <w:pStyle w:val="Heading1"/>
        <w:keepNext w:val="0"/>
        <w:keepLines w:val="0"/>
        <w:spacing w:after="0"/>
      </w:pPr>
      <w:r>
        <w:lastRenderedPageBreak/>
        <w:t>Disability, Sexuality, and Gender in Asia: Intersectionality, Human Rights, and the Law</w:t>
      </w:r>
    </w:p>
    <w:p w14:paraId="7EA8F929" w14:textId="77777777" w:rsidR="004B487C" w:rsidRDefault="004B487C">
      <w:pPr>
        <w:pStyle w:val="Heading1"/>
        <w:keepNext w:val="0"/>
        <w:keepLines w:val="0"/>
        <w:spacing w:after="0" w:line="480" w:lineRule="auto"/>
        <w:ind w:firstLine="720"/>
        <w:jc w:val="left"/>
        <w:rPr>
          <w:b w:val="0"/>
          <w:bCs w:val="0"/>
        </w:rPr>
      </w:pPr>
    </w:p>
    <w:p w14:paraId="336B9D65" w14:textId="5F45B07A" w:rsidR="004B487C" w:rsidRDefault="00000000">
      <w:pPr>
        <w:pStyle w:val="Heading1"/>
        <w:keepNext w:val="0"/>
        <w:keepLines w:val="0"/>
        <w:spacing w:after="0" w:line="480" w:lineRule="auto"/>
        <w:ind w:firstLine="720"/>
        <w:jc w:val="left"/>
        <w:rPr>
          <w:b w:val="0"/>
          <w:bCs w:val="0"/>
        </w:rPr>
      </w:pPr>
      <w:r>
        <w:rPr>
          <w:b w:val="0"/>
          <w:bCs w:val="0"/>
          <w:i/>
          <w:iCs/>
        </w:rPr>
        <w:t>Disability, Sexuality, and Gender in Asia: Intersectionality, Human Rights, and the Law</w:t>
      </w:r>
      <w:r>
        <w:rPr>
          <w:b w:val="0"/>
          <w:bCs w:val="0"/>
        </w:rPr>
        <w:t xml:space="preserve">, edited by </w:t>
      </w:r>
      <w:proofErr w:type="spellStart"/>
      <w:r>
        <w:rPr>
          <w:b w:val="0"/>
          <w:bCs w:val="0"/>
        </w:rPr>
        <w:t>Wanhong</w:t>
      </w:r>
      <w:proofErr w:type="spellEnd"/>
      <w:r>
        <w:rPr>
          <w:b w:val="0"/>
          <w:bCs w:val="0"/>
        </w:rPr>
        <w:t xml:space="preserve"> Zhang, Elisabeth </w:t>
      </w:r>
      <w:proofErr w:type="spellStart"/>
      <w:r>
        <w:rPr>
          <w:b w:val="0"/>
          <w:bCs w:val="0"/>
        </w:rPr>
        <w:t>Perioli</w:t>
      </w:r>
      <w:proofErr w:type="spellEnd"/>
      <w:r>
        <w:rPr>
          <w:b w:val="0"/>
          <w:bCs w:val="0"/>
        </w:rPr>
        <w:t xml:space="preserve"> </w:t>
      </w:r>
      <w:proofErr w:type="spellStart"/>
      <w:r>
        <w:rPr>
          <w:b w:val="0"/>
          <w:bCs w:val="0"/>
        </w:rPr>
        <w:t>Bjørnstøl</w:t>
      </w:r>
      <w:proofErr w:type="spellEnd"/>
      <w:r>
        <w:rPr>
          <w:b w:val="0"/>
          <w:bCs w:val="0"/>
        </w:rPr>
        <w:t xml:space="preserve">, Peng Ding, Wei Gao, </w:t>
      </w:r>
      <w:proofErr w:type="spellStart"/>
      <w:r>
        <w:rPr>
          <w:b w:val="0"/>
          <w:bCs w:val="0"/>
        </w:rPr>
        <w:t>Hanxu</w:t>
      </w:r>
      <w:proofErr w:type="spellEnd"/>
      <w:r>
        <w:rPr>
          <w:b w:val="0"/>
          <w:bCs w:val="0"/>
        </w:rPr>
        <w:t xml:space="preserve"> Liu, and Yijun Liu (2024) is a pioneering volume that foregrounds the intersection of disability, sexuality, and gender within Asian contexts, framing these questions within the architecture of international human rights law. Drawing on participatory research and experiential knowledge, the volume contributes to the urgent task of understanding how overlapping identities produce cumulative forms of discrimination and how disabled persons’ organizations (DPOs) mobilize against them.</w:t>
      </w:r>
    </w:p>
    <w:p w14:paraId="4281FD23" w14:textId="77777777" w:rsidR="004B487C" w:rsidRDefault="00000000">
      <w:pPr>
        <w:pStyle w:val="Heading1"/>
        <w:keepNext w:val="0"/>
        <w:keepLines w:val="0"/>
        <w:spacing w:after="0" w:line="480" w:lineRule="auto"/>
        <w:ind w:firstLine="720"/>
        <w:jc w:val="left"/>
        <w:rPr>
          <w:b w:val="0"/>
          <w:bCs w:val="0"/>
        </w:rPr>
      </w:pPr>
      <w:r>
        <w:rPr>
          <w:b w:val="0"/>
          <w:bCs w:val="0"/>
        </w:rPr>
        <w:t xml:space="preserve">From the outset, the editors frame intersectionality as both an analytic and activist tool. They remind readers that “people with disabilities are more than their disabilities and they are a very diverse group, yet they share some common experiences” (p. xvi). The invocation of Crenshaw’s foundational notion of intersectionality is not merely rhetorical; rather, it is operationalized across empirical case studies from China, Vietnam, Myanmar, Nepal, and Japan. What is particularly notable is the volume’s insistence that the denial of sexuality and reproductive rights is not peripheral but central to the lived realities of disabled women and LGBTIQ individuals. For instance, one participant in Naoko Kawaguchi’s interviews in Japan remarked, “When human beings are divided into categories such as men and women, I do not feel I belong to these categories. From my perspective, human beings are </w:t>
      </w:r>
      <w:proofErr w:type="spellStart"/>
      <w:r>
        <w:rPr>
          <w:b w:val="0"/>
          <w:bCs w:val="0"/>
        </w:rPr>
        <w:t>categorised</w:t>
      </w:r>
      <w:proofErr w:type="spellEnd"/>
      <w:r>
        <w:rPr>
          <w:b w:val="0"/>
          <w:bCs w:val="0"/>
        </w:rPr>
        <w:t xml:space="preserve"> into men/women/disabled” (p. 103). Such voices underscore the deep entanglement of disability and gender regimes in shaping social exclusion.</w:t>
      </w:r>
    </w:p>
    <w:p w14:paraId="0FD91291" w14:textId="77777777" w:rsidR="004B487C" w:rsidRDefault="00000000">
      <w:pPr>
        <w:pStyle w:val="Heading1"/>
        <w:keepNext w:val="0"/>
        <w:keepLines w:val="0"/>
        <w:spacing w:after="0" w:line="480" w:lineRule="auto"/>
        <w:ind w:firstLine="720"/>
        <w:jc w:val="left"/>
        <w:rPr>
          <w:b w:val="0"/>
          <w:bCs w:val="0"/>
        </w:rPr>
      </w:pPr>
      <w:r>
        <w:rPr>
          <w:b w:val="0"/>
          <w:bCs w:val="0"/>
        </w:rPr>
        <w:t xml:space="preserve">Methodologically, the book exemplifies the strength of participatory and rights-based approaches. Studies like the Institute for Studies of Society, Economy and Environment’s </w:t>
      </w:r>
      <w:r>
        <w:rPr>
          <w:b w:val="0"/>
          <w:bCs w:val="0"/>
        </w:rPr>
        <w:lastRenderedPageBreak/>
        <w:t xml:space="preserve">research in Vietnam (pp. 1–42) adopted both quantitative and qualitative methods to capture “perceived stigma” and “self-stigma” (p. 6), showing that nearly 43% of participants reported stigma in daily life. Similarly, Sarita </w:t>
      </w:r>
      <w:proofErr w:type="spellStart"/>
      <w:r>
        <w:rPr>
          <w:b w:val="0"/>
          <w:bCs w:val="0"/>
        </w:rPr>
        <w:t>Lamichhane’s</w:t>
      </w:r>
      <w:proofErr w:type="spellEnd"/>
      <w:r>
        <w:rPr>
          <w:b w:val="0"/>
          <w:bCs w:val="0"/>
        </w:rPr>
        <w:t xml:space="preserve"> work in Nepal (pp. 62–74) sheds light on the employment precarity of visually impaired women, illustrating how structural barriers in training and workplace inclusion limit both livelihood and dignity. By embedding disabled people’s voices, the research avoids the trap of objectifying them as “subjects of study” and instead affirms them as co-producers of knowledge. This methodological stance resonates with global scholarship advocating emancipatory disability research (Shakespeare, 2017).</w:t>
      </w:r>
    </w:p>
    <w:p w14:paraId="15A9F8E7" w14:textId="77777777" w:rsidR="004B487C" w:rsidRDefault="00000000">
      <w:pPr>
        <w:pStyle w:val="Heading1"/>
        <w:keepNext w:val="0"/>
        <w:keepLines w:val="0"/>
        <w:spacing w:after="0" w:line="480" w:lineRule="auto"/>
        <w:ind w:firstLine="720"/>
        <w:jc w:val="left"/>
        <w:rPr>
          <w:b w:val="0"/>
          <w:bCs w:val="0"/>
        </w:rPr>
      </w:pPr>
      <w:r>
        <w:rPr>
          <w:b w:val="0"/>
          <w:bCs w:val="0"/>
        </w:rPr>
        <w:t xml:space="preserve">At the thematic level, Part II of the book makes significant contributions by interrogating identity formation. Xu Yue and colleagues’ study of </w:t>
      </w:r>
      <w:r>
        <w:rPr>
          <w:b w:val="0"/>
          <w:bCs w:val="0"/>
          <w:i/>
          <w:iCs/>
        </w:rPr>
        <w:t>Minority Voice</w:t>
      </w:r>
      <w:r>
        <w:rPr>
          <w:b w:val="0"/>
          <w:bCs w:val="0"/>
        </w:rPr>
        <w:t xml:space="preserve">, a Chinese social media group, documents how digital platforms can function as counter-publics for disability pride and collective empowerment (pp. 110–119). Their findings echo international debates on digital activism, where marginalized groups use online spaces to reframe stigmatized identities (Ellis &amp; Kent, 2016). Yet the book also avoids technological determinism by emphasizing the ongoing material exclusions that persist even alongside online solidarity. Similarly, Li </w:t>
      </w:r>
      <w:proofErr w:type="spellStart"/>
      <w:r>
        <w:rPr>
          <w:b w:val="0"/>
          <w:bCs w:val="0"/>
        </w:rPr>
        <w:t>Xuehui</w:t>
      </w:r>
      <w:proofErr w:type="spellEnd"/>
      <w:r>
        <w:rPr>
          <w:b w:val="0"/>
          <w:bCs w:val="0"/>
        </w:rPr>
        <w:t xml:space="preserve"> and co-authors’ ethnography of mothers of children with autism in Shanghai (pp. 120–140) expands the discussion by considering caregivers’ invisible </w:t>
      </w:r>
      <w:proofErr w:type="spellStart"/>
      <w:r>
        <w:rPr>
          <w:b w:val="0"/>
          <w:bCs w:val="0"/>
        </w:rPr>
        <w:t>labour</w:t>
      </w:r>
      <w:proofErr w:type="spellEnd"/>
      <w:r>
        <w:rPr>
          <w:b w:val="0"/>
          <w:bCs w:val="0"/>
        </w:rPr>
        <w:t xml:space="preserve"> and identity struggles—an important, though sometimes overlooked, aspect of intersectionality.</w:t>
      </w:r>
    </w:p>
    <w:p w14:paraId="34BE808C" w14:textId="3A86C436" w:rsidR="004B487C" w:rsidRDefault="00000000">
      <w:pPr>
        <w:pStyle w:val="Heading1"/>
        <w:keepNext w:val="0"/>
        <w:keepLines w:val="0"/>
        <w:spacing w:after="0" w:line="480" w:lineRule="auto"/>
        <w:ind w:firstLine="720"/>
        <w:jc w:val="left"/>
        <w:rPr>
          <w:b w:val="0"/>
          <w:bCs w:val="0"/>
        </w:rPr>
      </w:pPr>
      <w:r>
        <w:rPr>
          <w:b w:val="0"/>
          <w:bCs w:val="0"/>
        </w:rPr>
        <w:t xml:space="preserve">Part III—perhaps the most provocative—focuses on sexuality, bodily autonomy, and gender-based violence. Carmen Yau’s chapter on Hand Angels in Taiwan (pp. 143–159) is groundbreaking in its frank discussion of voluntary sex services for disabled people. By situating these practices within the framework of “intimate citizenship,” Yau challenges normative discourses that desexualize disabled bodies. Complementing this, Rama </w:t>
      </w:r>
      <w:proofErr w:type="spellStart"/>
      <w:r>
        <w:rPr>
          <w:b w:val="0"/>
          <w:bCs w:val="0"/>
        </w:rPr>
        <w:t>Dhakal’s</w:t>
      </w:r>
      <w:proofErr w:type="spellEnd"/>
      <w:r>
        <w:rPr>
          <w:b w:val="0"/>
          <w:bCs w:val="0"/>
        </w:rPr>
        <w:t xml:space="preserve"> </w:t>
      </w:r>
      <w:r>
        <w:rPr>
          <w:b w:val="0"/>
          <w:bCs w:val="0"/>
        </w:rPr>
        <w:lastRenderedPageBreak/>
        <w:t>testimony from Nepal highlights systemic violations in sexual and reproductive health rights, from coerced sterilizations to lack of access to information (pp. 160–167). The prevalence of gender-based violence is starkly documented, with one survey noting that disabled women frequently remain in abusive relationships due to caregiver dependency and inadequate social services (pp. 187–199). These accounts substantiate earlier global findings that women with disabilities are disproportionately vulnerable to violence (UN Women, 2020).</w:t>
      </w:r>
    </w:p>
    <w:p w14:paraId="0B565168" w14:textId="77777777" w:rsidR="004B487C" w:rsidRDefault="00000000">
      <w:pPr>
        <w:pStyle w:val="Heading1"/>
        <w:keepNext w:val="0"/>
        <w:keepLines w:val="0"/>
        <w:spacing w:after="0" w:line="480" w:lineRule="auto"/>
        <w:ind w:firstLine="720"/>
        <w:jc w:val="left"/>
        <w:rPr>
          <w:b w:val="0"/>
          <w:bCs w:val="0"/>
        </w:rPr>
      </w:pPr>
      <w:r>
        <w:rPr>
          <w:b w:val="0"/>
          <w:bCs w:val="0"/>
        </w:rPr>
        <w:t xml:space="preserve">Critically, the volume does not shy away from exposing limitations in existing legal frameworks. Although many countries in Asia have ratified the Convention on the Rights of Persons with Disabilities (CRPD), implementation remains uneven. As the </w:t>
      </w:r>
      <w:proofErr w:type="spellStart"/>
      <w:r>
        <w:rPr>
          <w:b w:val="0"/>
          <w:bCs w:val="0"/>
        </w:rPr>
        <w:t>editors</w:t>
      </w:r>
      <w:proofErr w:type="spellEnd"/>
      <w:r>
        <w:rPr>
          <w:b w:val="0"/>
          <w:bCs w:val="0"/>
        </w:rPr>
        <w:t xml:space="preserve"> note, “statistics on LGBTIQ individuals hardly exist, not to mention on LGBTIQ individuals with disabilities” (p. xviii). The absence of disaggregated data reflects what </w:t>
      </w:r>
      <w:proofErr w:type="spellStart"/>
      <w:r>
        <w:rPr>
          <w:b w:val="0"/>
          <w:bCs w:val="0"/>
        </w:rPr>
        <w:t>Delprato</w:t>
      </w:r>
      <w:proofErr w:type="spellEnd"/>
      <w:r>
        <w:rPr>
          <w:b w:val="0"/>
          <w:bCs w:val="0"/>
        </w:rPr>
        <w:t xml:space="preserve"> and Shephard (2024) term the “missing data problem” in education and rights monitoring, which ultimately hampers accountability. In this regard, the book is as much an indictment of policy inertia as it is a celebration of grassroots resilience.</w:t>
      </w:r>
    </w:p>
    <w:p w14:paraId="097DAE65" w14:textId="77777777" w:rsidR="004B487C" w:rsidRDefault="00000000">
      <w:pPr>
        <w:pStyle w:val="Heading1"/>
        <w:keepNext w:val="0"/>
        <w:keepLines w:val="0"/>
        <w:spacing w:after="0" w:line="480" w:lineRule="auto"/>
        <w:ind w:firstLine="720"/>
        <w:jc w:val="left"/>
        <w:rPr>
          <w:b w:val="0"/>
          <w:bCs w:val="0"/>
        </w:rPr>
      </w:pPr>
      <w:r>
        <w:rPr>
          <w:b w:val="0"/>
          <w:bCs w:val="0"/>
        </w:rPr>
        <w:t xml:space="preserve">Yet the book is not without limitations. While its regional focus is commendable, the contributions are uneven in analytical depth. Some chapters, such as </w:t>
      </w:r>
      <w:proofErr w:type="spellStart"/>
      <w:r>
        <w:rPr>
          <w:b w:val="0"/>
          <w:bCs w:val="0"/>
        </w:rPr>
        <w:t>Lamichhane’s</w:t>
      </w:r>
      <w:proofErr w:type="spellEnd"/>
      <w:r>
        <w:rPr>
          <w:b w:val="0"/>
          <w:bCs w:val="0"/>
        </w:rPr>
        <w:t xml:space="preserve"> on Nepal, primarily present descriptive statistics without fully theorizing them in relation to broader feminist or queer disability studies. Similarly, the annex on international instruments (pp. 201–207), though useful as a reference, does little to integrate these frameworks into the empirical discussions. A further concern is that the volume, by emphasizing participatory research, sometimes privileges activist narratives over sustained theoretical engagement, which may leave academic readers seeking deeper conceptual clarity.</w:t>
      </w:r>
    </w:p>
    <w:p w14:paraId="3598013B" w14:textId="77777777" w:rsidR="004B487C" w:rsidRDefault="00000000">
      <w:pPr>
        <w:pStyle w:val="Heading1"/>
        <w:keepNext w:val="0"/>
        <w:keepLines w:val="0"/>
        <w:spacing w:after="0" w:line="480" w:lineRule="auto"/>
        <w:ind w:firstLine="720"/>
        <w:jc w:val="left"/>
        <w:rPr>
          <w:b w:val="0"/>
          <w:bCs w:val="0"/>
        </w:rPr>
      </w:pPr>
      <w:r>
        <w:rPr>
          <w:b w:val="0"/>
          <w:bCs w:val="0"/>
        </w:rPr>
        <w:t xml:space="preserve">Nonetheless, these limitations are outweighed by the book’s originality and moral urgency. It advances a distinctly Asian perspective that disrupts Euro-American dominance in </w:t>
      </w:r>
      <w:r>
        <w:rPr>
          <w:b w:val="0"/>
          <w:bCs w:val="0"/>
        </w:rPr>
        <w:lastRenderedPageBreak/>
        <w:t xml:space="preserve">disability studies. The insistence on contextualizing intersectionality within local socio-legal realities—for example, the taboo on SOGI issues in Myanmar (p. xvii) or the persistence of medicalized discourses in Vietnam (p. 4)—makes the book indispensable for comparative scholarship. Moreover, it offers actionable insights for </w:t>
      </w:r>
      <w:proofErr w:type="gramStart"/>
      <w:r>
        <w:rPr>
          <w:b w:val="0"/>
          <w:bCs w:val="0"/>
        </w:rPr>
        <w:t>policy-makers</w:t>
      </w:r>
      <w:proofErr w:type="gramEnd"/>
      <w:r>
        <w:rPr>
          <w:b w:val="0"/>
          <w:bCs w:val="0"/>
        </w:rPr>
        <w:t xml:space="preserve">, particularly in demonstrating how DPOs leverage the CRPD to press for change.  </w:t>
      </w:r>
    </w:p>
    <w:p w14:paraId="2373F22D" w14:textId="77777777" w:rsidR="004B487C" w:rsidRDefault="00000000">
      <w:pPr>
        <w:pStyle w:val="Heading1"/>
        <w:keepNext w:val="0"/>
        <w:keepLines w:val="0"/>
        <w:spacing w:after="0" w:line="480" w:lineRule="auto"/>
        <w:ind w:firstLine="720"/>
        <w:jc w:val="left"/>
        <w:rPr>
          <w:b w:val="0"/>
          <w:bCs w:val="0"/>
        </w:rPr>
      </w:pPr>
      <w:r>
        <w:rPr>
          <w:b w:val="0"/>
          <w:bCs w:val="0"/>
        </w:rPr>
        <w:t xml:space="preserve">In sum, </w:t>
      </w:r>
      <w:r>
        <w:rPr>
          <w:b w:val="0"/>
          <w:bCs w:val="0"/>
          <w:i/>
          <w:iCs/>
        </w:rPr>
        <w:t>Disability, Sexuality, and Gender in Asia</w:t>
      </w:r>
      <w:r>
        <w:rPr>
          <w:b w:val="0"/>
          <w:bCs w:val="0"/>
        </w:rPr>
        <w:t xml:space="preserve"> is a landmark contribution that bridges scholarship, activism, and policy. It compels readers to confront the multiple marginalizations that occur when disability intersects with gender and sexuality, and it models participatory methodologies that honor the agency of disabled people themselves. For researchers, it provides a rich empirical base; for </w:t>
      </w:r>
      <w:proofErr w:type="gramStart"/>
      <w:r>
        <w:rPr>
          <w:b w:val="0"/>
          <w:bCs w:val="0"/>
        </w:rPr>
        <w:t>policy-makers</w:t>
      </w:r>
      <w:proofErr w:type="gramEnd"/>
      <w:r>
        <w:rPr>
          <w:b w:val="0"/>
          <w:bCs w:val="0"/>
        </w:rPr>
        <w:t xml:space="preserve">, it highlights glaring gaps in rights protection; and for educators, it offers narratives that can be mobilized for critical pedagogy. </w:t>
      </w:r>
    </w:p>
    <w:p w14:paraId="321E759A" w14:textId="77777777" w:rsidR="004B487C" w:rsidRDefault="00000000">
      <w:pPr>
        <w:pStyle w:val="Heading1"/>
        <w:keepNext w:val="0"/>
        <w:keepLines w:val="0"/>
        <w:spacing w:after="0" w:line="480" w:lineRule="auto"/>
        <w:ind w:firstLine="720"/>
        <w:jc w:val="left"/>
        <w:rPr>
          <w:b w:val="0"/>
          <w:bCs w:val="0"/>
        </w:rPr>
      </w:pPr>
      <w:r>
        <w:rPr>
          <w:b w:val="0"/>
          <w:bCs w:val="0"/>
        </w:rPr>
        <w:t>As the editors remind us, “these issues should be talked about more openly, not only in Asia but everywhere” (p. xvii). Future research must build on this momentum by generating longitudinal, cross-country data and by theorizing the intersection of disability and sexuality in ways that are attentive to both global structures and local specificities. The book’s enduring value lies in its capacity to humanize and politicize voices too often silenced, and in doing so, it opens new directions for rights-based, inclusive futures.</w:t>
      </w:r>
    </w:p>
    <w:p w14:paraId="559252D6" w14:textId="77777777" w:rsidR="004B487C" w:rsidRDefault="00000000">
      <w:pPr>
        <w:pStyle w:val="Heading1"/>
        <w:keepNext w:val="0"/>
        <w:keepLines w:val="0"/>
        <w:spacing w:after="0"/>
        <w:rPr>
          <w:b w:val="0"/>
          <w:bCs w:val="0"/>
        </w:rPr>
      </w:pPr>
      <w:r>
        <w:rPr>
          <w:b w:val="0"/>
          <w:bCs w:val="0"/>
        </w:rPr>
        <w:br/>
      </w:r>
      <w:r>
        <w:rPr>
          <w:b w:val="0"/>
          <w:bCs w:val="0"/>
        </w:rPr>
        <w:br/>
      </w:r>
      <w:r>
        <w:rPr>
          <w:b w:val="0"/>
          <w:bCs w:val="0"/>
        </w:rPr>
        <w:br/>
      </w:r>
      <w:r>
        <w:rPr>
          <w:b w:val="0"/>
          <w:bCs w:val="0"/>
        </w:rPr>
        <w:br/>
      </w:r>
      <w:r>
        <w:rPr>
          <w:b w:val="0"/>
          <w:bCs w:val="0"/>
        </w:rPr>
        <w:br/>
      </w:r>
      <w:r>
        <w:rPr>
          <w:b w:val="0"/>
          <w:bCs w:val="0"/>
        </w:rPr>
        <w:br/>
      </w:r>
      <w:r>
        <w:rPr>
          <w:b w:val="0"/>
          <w:bCs w:val="0"/>
        </w:rPr>
        <w:br/>
      </w:r>
    </w:p>
    <w:p w14:paraId="6980B6ED" w14:textId="77777777" w:rsidR="004B487C" w:rsidRDefault="00000000">
      <w:pPr>
        <w:pStyle w:val="Heading1"/>
        <w:keepNext w:val="0"/>
        <w:keepLines w:val="0"/>
        <w:spacing w:after="0" w:line="480" w:lineRule="auto"/>
      </w:pPr>
      <w:r>
        <w:t xml:space="preserve">  </w:t>
      </w:r>
    </w:p>
    <w:p w14:paraId="09F6A47A" w14:textId="77777777" w:rsidR="004B487C" w:rsidRDefault="00000000">
      <w:pPr>
        <w:pStyle w:val="Heading1"/>
        <w:keepNext w:val="0"/>
        <w:keepLines w:val="0"/>
        <w:spacing w:after="0" w:line="480" w:lineRule="auto"/>
      </w:pPr>
      <w:r>
        <w:lastRenderedPageBreak/>
        <w:t>References</w:t>
      </w:r>
    </w:p>
    <w:p w14:paraId="561091E5" w14:textId="77777777" w:rsidR="004B487C" w:rsidRDefault="00000000" w:rsidP="004E4890">
      <w:pPr>
        <w:pStyle w:val="Heading1"/>
        <w:keepNext w:val="0"/>
        <w:keepLines w:val="0"/>
        <w:spacing w:after="0" w:line="480" w:lineRule="auto"/>
        <w:jc w:val="left"/>
        <w:rPr>
          <w:b w:val="0"/>
          <w:bCs w:val="0"/>
          <w:i/>
          <w:iCs/>
        </w:rPr>
      </w:pPr>
      <w:proofErr w:type="spellStart"/>
      <w:r>
        <w:rPr>
          <w:b w:val="0"/>
          <w:bCs w:val="0"/>
        </w:rPr>
        <w:t>Delprato</w:t>
      </w:r>
      <w:proofErr w:type="spellEnd"/>
      <w:r>
        <w:rPr>
          <w:b w:val="0"/>
          <w:bCs w:val="0"/>
        </w:rPr>
        <w:t xml:space="preserve">, M., &amp; Shephard, D. D. (2024). </w:t>
      </w:r>
      <w:r>
        <w:rPr>
          <w:b w:val="0"/>
          <w:bCs w:val="0"/>
          <w:i/>
          <w:iCs/>
        </w:rPr>
        <w:t>Achieving equitable education: Missing education</w:t>
      </w:r>
    </w:p>
    <w:p w14:paraId="54B9D329" w14:textId="77777777" w:rsidR="004B487C" w:rsidRDefault="00000000" w:rsidP="004E4890">
      <w:pPr>
        <w:pStyle w:val="Heading1"/>
        <w:keepNext w:val="0"/>
        <w:keepLines w:val="0"/>
        <w:spacing w:after="0" w:line="480" w:lineRule="auto"/>
        <w:ind w:left="720"/>
        <w:jc w:val="left"/>
        <w:rPr>
          <w:b w:val="0"/>
          <w:bCs w:val="0"/>
          <w:color w:val="1155CC"/>
          <w:u w:val="single"/>
        </w:rPr>
      </w:pPr>
      <w:r>
        <w:rPr>
          <w:b w:val="0"/>
          <w:bCs w:val="0"/>
          <w:i/>
          <w:iCs/>
        </w:rPr>
        <w:t>data and the SDG 4 data regime</w:t>
      </w:r>
      <w:r>
        <w:rPr>
          <w:b w:val="0"/>
          <w:bCs w:val="0"/>
        </w:rPr>
        <w:t>. Edward Elgar Publishing.</w:t>
      </w:r>
      <w:hyperlink r:id="rId74">
        <w:r>
          <w:rPr>
            <w:b w:val="0"/>
            <w:bCs w:val="0"/>
            <w:u w:val="single"/>
          </w:rPr>
          <w:t xml:space="preserve"> </w:t>
        </w:r>
      </w:hyperlink>
      <w:hyperlink r:id="rId75">
        <w:r>
          <w:rPr>
            <w:b w:val="0"/>
            <w:bCs w:val="0"/>
            <w:color w:val="1155CC"/>
            <w:u w:val="single"/>
          </w:rPr>
          <w:t>https://doi.org/10.4337/9781035313839</w:t>
        </w:r>
      </w:hyperlink>
    </w:p>
    <w:p w14:paraId="77E6A4FB" w14:textId="77777777" w:rsidR="004B487C" w:rsidRDefault="00000000" w:rsidP="004E4890">
      <w:pPr>
        <w:pStyle w:val="Heading1"/>
        <w:keepNext w:val="0"/>
        <w:keepLines w:val="0"/>
        <w:spacing w:after="0" w:line="480" w:lineRule="auto"/>
        <w:jc w:val="left"/>
        <w:rPr>
          <w:b w:val="0"/>
          <w:bCs w:val="0"/>
          <w:i/>
          <w:iCs/>
        </w:rPr>
      </w:pPr>
      <w:r>
        <w:rPr>
          <w:b w:val="0"/>
          <w:bCs w:val="0"/>
        </w:rPr>
        <w:t xml:space="preserve">Ellis, K., &amp; Kent, M. (Eds.). (2016). </w:t>
      </w:r>
      <w:r>
        <w:rPr>
          <w:b w:val="0"/>
          <w:bCs w:val="0"/>
          <w:i/>
          <w:iCs/>
        </w:rPr>
        <w:t xml:space="preserve">Disability and </w:t>
      </w:r>
      <w:proofErr w:type="gramStart"/>
      <w:r>
        <w:rPr>
          <w:b w:val="0"/>
          <w:bCs w:val="0"/>
          <w:i/>
          <w:iCs/>
        </w:rPr>
        <w:t>Social Media</w:t>
      </w:r>
      <w:proofErr w:type="gramEnd"/>
      <w:r>
        <w:rPr>
          <w:b w:val="0"/>
          <w:bCs w:val="0"/>
          <w:i/>
          <w:iCs/>
        </w:rPr>
        <w:t>: Global Perspectives (1st</w:t>
      </w:r>
    </w:p>
    <w:p w14:paraId="66543043" w14:textId="16D0A305" w:rsidR="004B487C" w:rsidRDefault="00000000" w:rsidP="004E4890">
      <w:pPr>
        <w:pStyle w:val="Heading1"/>
        <w:keepNext w:val="0"/>
        <w:keepLines w:val="0"/>
        <w:spacing w:after="0" w:line="480" w:lineRule="auto"/>
        <w:ind w:left="720"/>
        <w:jc w:val="left"/>
        <w:rPr>
          <w:b w:val="0"/>
          <w:bCs w:val="0"/>
          <w:color w:val="1155CC"/>
          <w:u w:val="single"/>
        </w:rPr>
      </w:pPr>
      <w:r>
        <w:rPr>
          <w:b w:val="0"/>
          <w:bCs w:val="0"/>
          <w:i/>
          <w:iCs/>
        </w:rPr>
        <w:t>ed.).</w:t>
      </w:r>
      <w:r>
        <w:rPr>
          <w:b w:val="0"/>
          <w:bCs w:val="0"/>
        </w:rPr>
        <w:t xml:space="preserve"> Routledge. </w:t>
      </w:r>
      <w:hyperlink r:id="rId76">
        <w:r>
          <w:rPr>
            <w:b w:val="0"/>
            <w:bCs w:val="0"/>
            <w:color w:val="1155CC"/>
            <w:u w:val="single"/>
          </w:rPr>
          <w:t>https://doi.org/10.4324/9781315577357</w:t>
        </w:r>
      </w:hyperlink>
    </w:p>
    <w:p w14:paraId="46CC5694" w14:textId="77777777" w:rsidR="004B487C" w:rsidRDefault="00000000" w:rsidP="004E4890">
      <w:pPr>
        <w:pStyle w:val="Heading1"/>
        <w:keepNext w:val="0"/>
        <w:keepLines w:val="0"/>
        <w:spacing w:after="0" w:line="480" w:lineRule="auto"/>
        <w:jc w:val="left"/>
        <w:rPr>
          <w:b w:val="0"/>
          <w:bCs w:val="0"/>
        </w:rPr>
      </w:pPr>
      <w:r>
        <w:rPr>
          <w:b w:val="0"/>
          <w:bCs w:val="0"/>
        </w:rPr>
        <w:t>Shakespeare, T. (2017). Disability: The Basics (1st ed.). Routledge.</w:t>
      </w:r>
    </w:p>
    <w:p w14:paraId="2822363F" w14:textId="4D6D95F0" w:rsidR="004B487C" w:rsidRDefault="00000000" w:rsidP="004E4890">
      <w:pPr>
        <w:pStyle w:val="Heading1"/>
        <w:keepNext w:val="0"/>
        <w:keepLines w:val="0"/>
        <w:spacing w:after="0" w:line="480" w:lineRule="auto"/>
        <w:ind w:firstLine="720"/>
        <w:jc w:val="left"/>
        <w:rPr>
          <w:b w:val="0"/>
          <w:bCs w:val="0"/>
          <w:color w:val="1155CC"/>
          <w:u w:val="single"/>
        </w:rPr>
      </w:pPr>
      <w:hyperlink r:id="rId77" w:history="1">
        <w:r w:rsidRPr="001223A3">
          <w:rPr>
            <w:rStyle w:val="Hyperlink"/>
            <w:b w:val="0"/>
            <w:bCs w:val="0"/>
          </w:rPr>
          <w:t>https://doi.org/10.4324/9781315624839</w:t>
        </w:r>
      </w:hyperlink>
    </w:p>
    <w:p w14:paraId="4387D77E" w14:textId="77777777" w:rsidR="004B487C" w:rsidRDefault="00000000" w:rsidP="004E4890">
      <w:pPr>
        <w:pStyle w:val="Heading1"/>
        <w:keepNext w:val="0"/>
        <w:keepLines w:val="0"/>
        <w:spacing w:after="0" w:line="480" w:lineRule="auto"/>
        <w:jc w:val="left"/>
        <w:rPr>
          <w:b w:val="0"/>
          <w:bCs w:val="0"/>
          <w:i/>
          <w:iCs/>
        </w:rPr>
      </w:pPr>
      <w:r>
        <w:rPr>
          <w:b w:val="0"/>
          <w:bCs w:val="0"/>
        </w:rPr>
        <w:t xml:space="preserve">UN Women. (2020). </w:t>
      </w:r>
      <w:r>
        <w:rPr>
          <w:b w:val="0"/>
          <w:bCs w:val="0"/>
          <w:i/>
          <w:iCs/>
        </w:rPr>
        <w:t>The impact of COVID-19 on violence against women and girls with</w:t>
      </w:r>
    </w:p>
    <w:p w14:paraId="4D62D6FD" w14:textId="77777777" w:rsidR="004B487C" w:rsidRDefault="00000000" w:rsidP="004E4890">
      <w:pPr>
        <w:pStyle w:val="Heading1"/>
        <w:keepNext w:val="0"/>
        <w:keepLines w:val="0"/>
        <w:spacing w:after="0" w:line="480" w:lineRule="auto"/>
        <w:ind w:left="720"/>
        <w:jc w:val="left"/>
        <w:rPr>
          <w:b w:val="0"/>
          <w:bCs w:val="0"/>
        </w:rPr>
      </w:pPr>
      <w:r>
        <w:rPr>
          <w:b w:val="0"/>
          <w:bCs w:val="0"/>
          <w:i/>
          <w:iCs/>
        </w:rPr>
        <w:t>disabilities</w:t>
      </w:r>
      <w:r>
        <w:rPr>
          <w:b w:val="0"/>
          <w:bCs w:val="0"/>
        </w:rPr>
        <w:t>. United Nations Entity for Gender Equality and the Empowerment of Women.</w:t>
      </w:r>
      <w:hyperlink r:id="rId78">
        <w:r>
          <w:rPr>
            <w:b w:val="0"/>
            <w:bCs w:val="0"/>
          </w:rPr>
          <w:t xml:space="preserve"> </w:t>
        </w:r>
      </w:hyperlink>
      <w:hyperlink r:id="rId79">
        <w:r>
          <w:rPr>
            <w:b w:val="0"/>
            <w:bCs w:val="0"/>
            <w:color w:val="1155CC"/>
            <w:u w:val="single"/>
          </w:rPr>
          <w:t>https://www.unwomen.org/en/digital-library/publications/2021/03/the-impact-of-covid-19-on-violence-against-women-and-girls-with-disabilities</w:t>
        </w:r>
      </w:hyperlink>
      <w:r>
        <w:rPr>
          <w:b w:val="0"/>
          <w:bCs w:val="0"/>
        </w:rPr>
        <w:t xml:space="preserve">. </w:t>
      </w:r>
    </w:p>
    <w:p w14:paraId="63DE760F" w14:textId="77777777" w:rsidR="004B487C" w:rsidRDefault="00000000">
      <w:pPr>
        <w:pStyle w:val="Heading1"/>
        <w:keepNext w:val="0"/>
        <w:keepLines w:val="0"/>
        <w:spacing w:after="0" w:line="480" w:lineRule="auto"/>
        <w:jc w:val="both"/>
        <w:rPr>
          <w:b w:val="0"/>
          <w:bCs w:val="0"/>
        </w:rPr>
      </w:pPr>
      <w:bookmarkStart w:id="2" w:name="_9gx9j0d9wki6" w:colFirst="0" w:colLast="0"/>
      <w:bookmarkEnd w:id="2"/>
      <w:r>
        <w:rPr>
          <w:b w:val="0"/>
          <w:bCs w:val="0"/>
        </w:rPr>
        <w:t xml:space="preserve"> </w:t>
      </w:r>
    </w:p>
    <w:p w14:paraId="68640898" w14:textId="77777777" w:rsidR="004B487C" w:rsidRDefault="004B487C">
      <w:pPr>
        <w:pStyle w:val="Heading1"/>
        <w:spacing w:after="0"/>
        <w:rPr>
          <w:b w:val="0"/>
          <w:bCs w:val="0"/>
        </w:rPr>
      </w:pPr>
    </w:p>
    <w:p w14:paraId="60AAA5AE" w14:textId="77777777" w:rsidR="004B487C" w:rsidRDefault="004B487C">
      <w:pPr>
        <w:spacing w:after="0" w:line="480" w:lineRule="auto"/>
        <w:jc w:val="center"/>
        <w:rPr>
          <w:b/>
          <w:bCs/>
        </w:rPr>
      </w:pPr>
    </w:p>
    <w:p w14:paraId="0DA2E4B9" w14:textId="77777777" w:rsidR="004B487C" w:rsidRDefault="004B487C">
      <w:pPr>
        <w:spacing w:line="480" w:lineRule="auto"/>
        <w:jc w:val="center"/>
        <w:rPr>
          <w:b/>
          <w:bCs/>
        </w:rPr>
      </w:pPr>
    </w:p>
    <w:p w14:paraId="3D2D3EE3" w14:textId="77777777" w:rsidR="004B487C" w:rsidRDefault="004B487C">
      <w:pPr>
        <w:spacing w:line="480" w:lineRule="auto"/>
        <w:ind w:firstLine="0"/>
      </w:pPr>
    </w:p>
    <w:p w14:paraId="0BD24E5A" w14:textId="77777777" w:rsidR="004B487C" w:rsidRDefault="004B487C">
      <w:pPr>
        <w:spacing w:line="480" w:lineRule="auto"/>
        <w:ind w:firstLine="0"/>
      </w:pPr>
    </w:p>
    <w:p w14:paraId="1E149BE7" w14:textId="77777777" w:rsidR="004B487C" w:rsidRDefault="004B487C">
      <w:pPr>
        <w:spacing w:line="480" w:lineRule="auto"/>
        <w:ind w:firstLine="0"/>
      </w:pPr>
    </w:p>
    <w:p w14:paraId="17ADB228" w14:textId="77777777" w:rsidR="004B487C" w:rsidRDefault="00000000">
      <w:pPr>
        <w:pStyle w:val="Heading1"/>
        <w:keepNext w:val="0"/>
        <w:keepLines w:val="0"/>
        <w:spacing w:after="0"/>
        <w:jc w:val="left"/>
        <w:rPr>
          <w:b w:val="0"/>
          <w:bCs w:val="0"/>
        </w:rPr>
      </w:pPr>
      <w:r>
        <w:rPr>
          <w:noProof/>
          <w:color w:val="000000"/>
        </w:rPr>
        <w:drawing>
          <wp:inline distT="0" distB="0" distL="0" distR="0" wp14:anchorId="581D1543" wp14:editId="6EC585A0">
            <wp:extent cx="1016000" cy="186055"/>
            <wp:effectExtent l="0" t="0" r="0" b="0"/>
            <wp:docPr id="1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11" name="image1.png" descr="Creative Commons CC:BY logo"/>
                    <pic:cNvPicPr preferRelativeResize="0"/>
                  </pic:nvPicPr>
                  <pic:blipFill>
                    <a:blip r:embed="rId7"/>
                    <a:srcRect/>
                    <a:stretch>
                      <a:fillRect/>
                    </a:stretch>
                  </pic:blipFill>
                  <pic:spPr>
                    <a:xfrm>
                      <a:off x="0" y="0"/>
                      <a:ext cx="1016000" cy="186055"/>
                    </a:xfrm>
                    <a:prstGeom prst="rect">
                      <a:avLst/>
                    </a:prstGeom>
                    <a:ln/>
                  </pic:spPr>
                </pic:pic>
              </a:graphicData>
            </a:graphic>
          </wp:inline>
        </w:drawing>
      </w:r>
      <w:r>
        <w:rPr>
          <w:color w:val="000000"/>
        </w:rPr>
        <w:t xml:space="preserve"> </w:t>
      </w:r>
      <w:r>
        <w:t>Disability, Sexuality, and Gender in Asia: Intersectionality, Human Rights, and the Law</w:t>
      </w:r>
      <w:r>
        <w:rPr>
          <w:b w:val="0"/>
          <w:bCs w:val="0"/>
        </w:rPr>
        <w:t xml:space="preserve"> by Ratan Sarkar</w:t>
      </w:r>
    </w:p>
    <w:p w14:paraId="7D9855B6" w14:textId="44E55836" w:rsidR="004B487C" w:rsidRDefault="00000000">
      <w:pPr>
        <w:pStyle w:val="Heading1"/>
        <w:keepNext w:val="0"/>
        <w:keepLines w:val="0"/>
        <w:spacing w:after="0"/>
        <w:jc w:val="left"/>
        <w:rPr>
          <w:b w:val="0"/>
          <w:bCs w:val="0"/>
        </w:rPr>
      </w:pPr>
      <w:hyperlink r:id="rId80">
        <w:r>
          <w:rPr>
            <w:b w:val="0"/>
            <w:bCs w:val="0"/>
            <w:color w:val="0000FF"/>
            <w:u w:val="single"/>
          </w:rPr>
          <w:t>https://rdsjournal.org/index.php/journal/article/view/</w:t>
        </w:r>
      </w:hyperlink>
      <w:r>
        <w:rPr>
          <w:b w:val="0"/>
          <w:bCs w:val="0"/>
          <w:color w:val="0000FF"/>
          <w:u w:val="single"/>
        </w:rPr>
        <w:t>1442</w:t>
      </w:r>
      <w:r>
        <w:rPr>
          <w:b w:val="0"/>
          <w:bCs w:val="0"/>
          <w:color w:val="000000"/>
        </w:rPr>
        <w:t xml:space="preserve"> </w:t>
      </w:r>
      <w:r w:rsidR="00005E84">
        <w:rPr>
          <w:b w:val="0"/>
          <w:bCs w:val="0"/>
          <w:color w:val="000000"/>
        </w:rPr>
        <w:t>is l</w:t>
      </w:r>
      <w:r>
        <w:rPr>
          <w:b w:val="0"/>
          <w:bCs w:val="0"/>
          <w:color w:val="000000"/>
        </w:rPr>
        <w:t>icensed under a</w:t>
      </w:r>
      <w:hyperlink r:id="rId81">
        <w:r>
          <w:rPr>
            <w:b w:val="0"/>
            <w:bCs w:val="0"/>
            <w:color w:val="3C78D8"/>
            <w:u w:val="single"/>
          </w:rPr>
          <w:t xml:space="preserve"> </w:t>
        </w:r>
      </w:hyperlink>
      <w:hyperlink r:id="rId82">
        <w:r>
          <w:rPr>
            <w:b w:val="0"/>
            <w:bCs w:val="0"/>
            <w:color w:val="0000FF"/>
            <w:u w:val="single"/>
          </w:rPr>
          <w:t>Creative Commons Attribution 4.0 International License</w:t>
        </w:r>
      </w:hyperlink>
      <w:r>
        <w:rPr>
          <w:b w:val="0"/>
          <w:bCs w:val="0"/>
          <w:color w:val="0000FF"/>
        </w:rPr>
        <w:t xml:space="preserve"> </w:t>
      </w:r>
      <w:r>
        <w:rPr>
          <w:b w:val="0"/>
          <w:bCs w:val="0"/>
          <w:color w:val="000000"/>
        </w:rPr>
        <w:t xml:space="preserve">based on a work at </w:t>
      </w:r>
      <w:hyperlink r:id="rId83">
        <w:r>
          <w:rPr>
            <w:b w:val="0"/>
            <w:bCs w:val="0"/>
            <w:color w:val="0000FF"/>
            <w:u w:val="single"/>
          </w:rPr>
          <w:t>https://rdsjournal.org</w:t>
        </w:r>
      </w:hyperlink>
      <w:r>
        <w:rPr>
          <w:b w:val="0"/>
          <w:bCs w:val="0"/>
          <w:color w:val="000000"/>
        </w:rPr>
        <w:t>.</w:t>
      </w:r>
    </w:p>
    <w:p w14:paraId="14308D3F" w14:textId="77777777" w:rsidR="004B487C" w:rsidRDefault="004B487C">
      <w:pPr>
        <w:spacing w:line="480" w:lineRule="auto"/>
      </w:pPr>
    </w:p>
    <w:p w14:paraId="25A754E6" w14:textId="77777777" w:rsidR="004B487C" w:rsidRDefault="004B487C">
      <w:pPr>
        <w:pStyle w:val="Heading1"/>
      </w:pPr>
    </w:p>
    <w:p w14:paraId="1F70B913" w14:textId="79289894" w:rsidR="004B487C" w:rsidRDefault="00CC4683">
      <w:pPr>
        <w:pStyle w:val="Heading1"/>
        <w:rPr>
          <w:rFonts w:ascii="Arial" w:eastAsia="Arial" w:hAnsi="Arial" w:cs="Arial"/>
        </w:rPr>
      </w:pPr>
      <w:r>
        <w:rPr>
          <w:rFonts w:ascii="Arial" w:eastAsia="Arial" w:hAnsi="Arial" w:cs="Arial"/>
        </w:rPr>
        <w:t>Interviews</w:t>
      </w:r>
      <w:r>
        <w:rPr>
          <w:rFonts w:ascii="Arial" w:eastAsia="Arial" w:hAnsi="Arial" w:cs="Arial"/>
        </w:rPr>
        <w:br/>
      </w:r>
    </w:p>
    <w:p w14:paraId="59A8E1ED" w14:textId="1366288D" w:rsidR="004B487C" w:rsidRDefault="004B487C">
      <w:pPr>
        <w:widowControl/>
        <w:spacing w:after="0" w:line="480" w:lineRule="auto"/>
        <w:ind w:firstLine="0"/>
        <w:rPr>
          <w:sz w:val="20"/>
          <w:szCs w:val="20"/>
        </w:rPr>
      </w:pPr>
    </w:p>
    <w:p w14:paraId="1E2EE4E0" w14:textId="25725410" w:rsidR="004B487C" w:rsidRDefault="004B487C">
      <w:pPr>
        <w:widowControl/>
        <w:spacing w:after="0" w:line="480" w:lineRule="auto"/>
        <w:ind w:firstLine="0"/>
        <w:rPr>
          <w:sz w:val="20"/>
          <w:szCs w:val="20"/>
        </w:rPr>
      </w:pPr>
    </w:p>
    <w:p w14:paraId="080F34BA" w14:textId="77777777" w:rsidR="004B487C" w:rsidRDefault="00000000">
      <w:pPr>
        <w:widowControl/>
        <w:spacing w:after="0" w:line="480" w:lineRule="auto"/>
        <w:ind w:firstLine="0"/>
        <w:jc w:val="center"/>
        <w:rPr>
          <w:sz w:val="20"/>
          <w:szCs w:val="20"/>
        </w:rPr>
      </w:pPr>
      <w:r>
        <w:rPr>
          <w:b/>
          <w:bCs/>
        </w:rPr>
        <w:t>An Interview with Scot Danforth, Author of</w:t>
      </w:r>
    </w:p>
    <w:p w14:paraId="4A6684C2" w14:textId="77777777" w:rsidR="004B487C" w:rsidRDefault="00000000">
      <w:pPr>
        <w:widowControl/>
        <w:spacing w:after="0" w:line="480" w:lineRule="auto"/>
        <w:ind w:firstLine="0"/>
        <w:jc w:val="center"/>
        <w:rPr>
          <w:sz w:val="20"/>
          <w:szCs w:val="20"/>
        </w:rPr>
      </w:pPr>
      <w:r>
        <w:rPr>
          <w:b/>
          <w:bCs/>
        </w:rPr>
        <w:t xml:space="preserve">An Independent Man: Ed Roberts and the Fight for Disability Rights </w:t>
      </w:r>
      <w:r>
        <w:rPr>
          <w:b/>
          <w:bCs/>
        </w:rPr>
        <w:br/>
      </w:r>
    </w:p>
    <w:p w14:paraId="59FFE15D" w14:textId="77777777" w:rsidR="004B487C" w:rsidRDefault="00000000">
      <w:pPr>
        <w:widowControl/>
        <w:spacing w:after="0" w:line="480" w:lineRule="auto"/>
        <w:ind w:firstLine="0"/>
        <w:rPr>
          <w:sz w:val="20"/>
          <w:szCs w:val="20"/>
        </w:rPr>
      </w:pPr>
      <w:r>
        <w:t xml:space="preserve"> </w:t>
      </w:r>
    </w:p>
    <w:p w14:paraId="48759349" w14:textId="77777777" w:rsidR="004B487C" w:rsidRDefault="00000000">
      <w:pPr>
        <w:widowControl/>
        <w:spacing w:after="0" w:line="480" w:lineRule="auto"/>
        <w:ind w:firstLine="0"/>
        <w:jc w:val="center"/>
        <w:rPr>
          <w:sz w:val="20"/>
          <w:szCs w:val="20"/>
        </w:rPr>
      </w:pPr>
      <w:r>
        <w:t xml:space="preserve">Raphael </w:t>
      </w:r>
      <w:proofErr w:type="spellStart"/>
      <w:r>
        <w:t>Raphael</w:t>
      </w:r>
      <w:proofErr w:type="spellEnd"/>
    </w:p>
    <w:p w14:paraId="61A043F0" w14:textId="1D13982E" w:rsidR="004B487C" w:rsidRDefault="00000000">
      <w:pPr>
        <w:widowControl/>
        <w:spacing w:after="0" w:line="480" w:lineRule="auto"/>
        <w:ind w:firstLine="0"/>
        <w:jc w:val="center"/>
        <w:rPr>
          <w:sz w:val="20"/>
          <w:szCs w:val="20"/>
        </w:rPr>
      </w:pPr>
      <w:r>
        <w:t xml:space="preserve">Center on Disability Studies, University of </w:t>
      </w:r>
      <w:proofErr w:type="spellStart"/>
      <w:r>
        <w:t>Hawaiʻi</w:t>
      </w:r>
      <w:proofErr w:type="spellEnd"/>
      <w:r>
        <w:t xml:space="preserve"> at Mānoa</w:t>
      </w:r>
    </w:p>
    <w:p w14:paraId="5C5B4805" w14:textId="77777777" w:rsidR="004B487C" w:rsidRDefault="00000000">
      <w:pPr>
        <w:widowControl/>
        <w:spacing w:after="0" w:line="480" w:lineRule="auto"/>
        <w:ind w:firstLine="0"/>
        <w:rPr>
          <w:sz w:val="20"/>
          <w:szCs w:val="20"/>
        </w:rPr>
      </w:pPr>
      <w:r>
        <w:t xml:space="preserve"> </w:t>
      </w:r>
    </w:p>
    <w:p w14:paraId="34E6CEFE" w14:textId="77777777" w:rsidR="004B487C" w:rsidRDefault="004B487C">
      <w:pPr>
        <w:widowControl/>
        <w:spacing w:after="0" w:line="480" w:lineRule="auto"/>
        <w:ind w:firstLine="0"/>
        <w:jc w:val="center"/>
        <w:rPr>
          <w:b/>
          <w:bCs/>
        </w:rPr>
      </w:pPr>
    </w:p>
    <w:p w14:paraId="159FC4B0" w14:textId="77777777" w:rsidR="004B487C" w:rsidRDefault="004B487C">
      <w:pPr>
        <w:widowControl/>
        <w:spacing w:after="0" w:line="480" w:lineRule="auto"/>
        <w:ind w:firstLine="0"/>
        <w:jc w:val="center"/>
        <w:rPr>
          <w:b/>
          <w:bCs/>
        </w:rPr>
      </w:pPr>
    </w:p>
    <w:p w14:paraId="2D494252" w14:textId="77777777" w:rsidR="004B487C" w:rsidRDefault="004B487C">
      <w:pPr>
        <w:widowControl/>
        <w:spacing w:after="0" w:line="480" w:lineRule="auto"/>
        <w:ind w:firstLine="0"/>
        <w:jc w:val="center"/>
        <w:rPr>
          <w:b/>
          <w:bCs/>
        </w:rPr>
      </w:pPr>
    </w:p>
    <w:p w14:paraId="6E8207F9" w14:textId="77777777" w:rsidR="004B487C" w:rsidRDefault="004B487C">
      <w:pPr>
        <w:widowControl/>
        <w:spacing w:after="0" w:line="480" w:lineRule="auto"/>
        <w:ind w:firstLine="0"/>
        <w:jc w:val="center"/>
        <w:rPr>
          <w:b/>
          <w:bCs/>
        </w:rPr>
      </w:pPr>
    </w:p>
    <w:p w14:paraId="0D78C08A" w14:textId="77777777" w:rsidR="004B487C" w:rsidRDefault="004B487C">
      <w:pPr>
        <w:widowControl/>
        <w:spacing w:after="0" w:line="480" w:lineRule="auto"/>
        <w:ind w:firstLine="0"/>
        <w:jc w:val="center"/>
        <w:rPr>
          <w:b/>
          <w:bCs/>
        </w:rPr>
      </w:pPr>
    </w:p>
    <w:p w14:paraId="6C7F22F4" w14:textId="77777777" w:rsidR="004B487C" w:rsidRDefault="004B487C">
      <w:pPr>
        <w:widowControl/>
        <w:spacing w:after="0" w:line="480" w:lineRule="auto"/>
        <w:ind w:firstLine="0"/>
        <w:jc w:val="center"/>
        <w:rPr>
          <w:b/>
          <w:bCs/>
        </w:rPr>
      </w:pPr>
    </w:p>
    <w:p w14:paraId="646CED04" w14:textId="77777777" w:rsidR="004B487C" w:rsidRDefault="004B487C">
      <w:pPr>
        <w:widowControl/>
        <w:spacing w:after="0" w:line="480" w:lineRule="auto"/>
        <w:ind w:firstLine="0"/>
        <w:jc w:val="center"/>
        <w:rPr>
          <w:b/>
          <w:bCs/>
        </w:rPr>
      </w:pPr>
    </w:p>
    <w:p w14:paraId="60899F5F" w14:textId="77777777" w:rsidR="008F2CD9" w:rsidRDefault="008F2CD9">
      <w:pPr>
        <w:widowControl/>
        <w:spacing w:after="0" w:line="480" w:lineRule="auto"/>
        <w:ind w:firstLine="0"/>
        <w:jc w:val="center"/>
        <w:rPr>
          <w:b/>
          <w:bCs/>
        </w:rPr>
      </w:pPr>
    </w:p>
    <w:p w14:paraId="033865C1" w14:textId="77777777" w:rsidR="008F2CD9" w:rsidRDefault="008F2CD9">
      <w:pPr>
        <w:widowControl/>
        <w:spacing w:after="0" w:line="480" w:lineRule="auto"/>
        <w:ind w:firstLine="0"/>
        <w:jc w:val="center"/>
        <w:rPr>
          <w:b/>
          <w:bCs/>
        </w:rPr>
      </w:pPr>
    </w:p>
    <w:p w14:paraId="41CD8E64" w14:textId="77777777" w:rsidR="004B487C" w:rsidRDefault="004B487C">
      <w:pPr>
        <w:widowControl/>
        <w:spacing w:after="0" w:line="480" w:lineRule="auto"/>
        <w:ind w:firstLine="0"/>
        <w:jc w:val="center"/>
        <w:rPr>
          <w:b/>
          <w:bCs/>
        </w:rPr>
      </w:pPr>
    </w:p>
    <w:p w14:paraId="462FDB68" w14:textId="77777777" w:rsidR="008F2CD9" w:rsidRDefault="008F2CD9" w:rsidP="008F2CD9">
      <w:pPr>
        <w:widowControl/>
        <w:spacing w:after="0" w:line="480" w:lineRule="auto"/>
        <w:ind w:firstLine="0"/>
        <w:jc w:val="center"/>
        <w:rPr>
          <w:b/>
          <w:bCs/>
        </w:rPr>
      </w:pPr>
    </w:p>
    <w:p w14:paraId="7B4DC932" w14:textId="77777777" w:rsidR="00CC4683" w:rsidRDefault="00CC4683" w:rsidP="008F2CD9">
      <w:pPr>
        <w:widowControl/>
        <w:spacing w:after="0" w:line="480" w:lineRule="auto"/>
        <w:ind w:firstLine="0"/>
        <w:jc w:val="center"/>
        <w:rPr>
          <w:b/>
          <w:bCs/>
        </w:rPr>
      </w:pPr>
    </w:p>
    <w:p w14:paraId="7373A7B2" w14:textId="48176FFB" w:rsidR="004B487C" w:rsidRDefault="008F2CD9" w:rsidP="008F2CD9">
      <w:pPr>
        <w:widowControl/>
        <w:spacing w:after="0" w:line="480" w:lineRule="auto"/>
        <w:ind w:firstLine="0"/>
        <w:jc w:val="center"/>
        <w:rPr>
          <w:sz w:val="20"/>
          <w:szCs w:val="20"/>
        </w:rPr>
      </w:pPr>
      <w:r>
        <w:rPr>
          <w:b/>
          <w:bCs/>
        </w:rPr>
        <w:lastRenderedPageBreak/>
        <w:br/>
        <w:t>Abstract</w:t>
      </w:r>
    </w:p>
    <w:p w14:paraId="36F556BE" w14:textId="77777777" w:rsidR="004B487C" w:rsidRDefault="00000000">
      <w:pPr>
        <w:widowControl/>
        <w:spacing w:after="0" w:line="480" w:lineRule="auto"/>
        <w:ind w:firstLine="0"/>
        <w:jc w:val="both"/>
        <w:rPr>
          <w:sz w:val="20"/>
          <w:szCs w:val="20"/>
        </w:rPr>
      </w:pPr>
      <w:r>
        <w:t xml:space="preserve">This interview features Scot Danforth, author of </w:t>
      </w:r>
      <w:r>
        <w:rPr>
          <w:i/>
          <w:iCs/>
        </w:rPr>
        <w:t>An Independent Man: Ed Roberts and the Fight for Disability Rights</w:t>
      </w:r>
      <w:r>
        <w:t xml:space="preserve"> (University of California Press, 2025). Conducted on March 19, 2026, via Zoom, the interview explores Danforth’s motivations for writing the biography, his eight-year research and writing process, and what he learned about Ed Roberts and the broader disability rights movement. Topics include the origins of the disability rights movement in Berkeley, the creative and political legacy of Roberts, and the ongoing urgency of disability rights advocacy. </w:t>
      </w:r>
    </w:p>
    <w:p w14:paraId="7D0D9342" w14:textId="77777777" w:rsidR="004B487C" w:rsidRDefault="00000000">
      <w:pPr>
        <w:widowControl/>
        <w:spacing w:after="0" w:line="480" w:lineRule="auto"/>
        <w:ind w:firstLine="0"/>
        <w:rPr>
          <w:sz w:val="20"/>
          <w:szCs w:val="20"/>
        </w:rPr>
      </w:pPr>
      <w:r>
        <w:t xml:space="preserve"> </w:t>
      </w:r>
    </w:p>
    <w:p w14:paraId="0CD73BD2" w14:textId="77777777" w:rsidR="004B487C" w:rsidRDefault="00000000" w:rsidP="00F464E5">
      <w:pPr>
        <w:widowControl/>
        <w:spacing w:after="0" w:line="480" w:lineRule="auto"/>
        <w:jc w:val="both"/>
        <w:rPr>
          <w:sz w:val="20"/>
          <w:szCs w:val="20"/>
        </w:rPr>
      </w:pPr>
      <w:r>
        <w:rPr>
          <w:i/>
          <w:iCs/>
        </w:rPr>
        <w:t>Keywords</w:t>
      </w:r>
      <w:r>
        <w:t>: disability rights, Ed Roberts, biography, independent living movement, Berkeley, disability history</w:t>
      </w:r>
    </w:p>
    <w:p w14:paraId="381EAFE5" w14:textId="77777777" w:rsidR="004B487C" w:rsidRDefault="00000000">
      <w:pPr>
        <w:widowControl/>
        <w:spacing w:after="0" w:line="480" w:lineRule="auto"/>
        <w:ind w:firstLine="0"/>
        <w:rPr>
          <w:sz w:val="20"/>
          <w:szCs w:val="20"/>
        </w:rPr>
      </w:pPr>
      <w:r>
        <w:t xml:space="preserve"> </w:t>
      </w:r>
    </w:p>
    <w:p w14:paraId="0C4EBE69" w14:textId="77777777" w:rsidR="004B487C" w:rsidRDefault="00000000">
      <w:pPr>
        <w:widowControl/>
        <w:spacing w:after="0" w:line="480" w:lineRule="auto"/>
        <w:ind w:firstLine="0"/>
        <w:rPr>
          <w:sz w:val="20"/>
          <w:szCs w:val="20"/>
        </w:rPr>
      </w:pPr>
      <w:r>
        <w:t xml:space="preserve"> </w:t>
      </w:r>
    </w:p>
    <w:p w14:paraId="43EB69EE" w14:textId="77777777" w:rsidR="004B487C" w:rsidRDefault="004B487C">
      <w:pPr>
        <w:widowControl/>
        <w:spacing w:after="0" w:line="480" w:lineRule="auto"/>
        <w:ind w:firstLine="0"/>
        <w:jc w:val="center"/>
        <w:rPr>
          <w:b/>
          <w:bCs/>
        </w:rPr>
      </w:pPr>
    </w:p>
    <w:p w14:paraId="394BBA9C" w14:textId="77777777" w:rsidR="004B487C" w:rsidRDefault="004B487C">
      <w:pPr>
        <w:widowControl/>
        <w:spacing w:after="0" w:line="480" w:lineRule="auto"/>
        <w:ind w:firstLine="0"/>
        <w:jc w:val="center"/>
        <w:rPr>
          <w:b/>
          <w:bCs/>
        </w:rPr>
      </w:pPr>
    </w:p>
    <w:p w14:paraId="2942C2C6" w14:textId="77777777" w:rsidR="004B487C" w:rsidRDefault="004B487C">
      <w:pPr>
        <w:widowControl/>
        <w:spacing w:after="0" w:line="480" w:lineRule="auto"/>
        <w:ind w:firstLine="0"/>
        <w:jc w:val="center"/>
        <w:rPr>
          <w:b/>
          <w:bCs/>
        </w:rPr>
      </w:pPr>
    </w:p>
    <w:p w14:paraId="0136E014" w14:textId="77777777" w:rsidR="004B487C" w:rsidRDefault="004B487C">
      <w:pPr>
        <w:widowControl/>
        <w:spacing w:after="0" w:line="480" w:lineRule="auto"/>
        <w:ind w:firstLine="0"/>
        <w:jc w:val="center"/>
        <w:rPr>
          <w:b/>
          <w:bCs/>
        </w:rPr>
      </w:pPr>
    </w:p>
    <w:p w14:paraId="313F10F2" w14:textId="77777777" w:rsidR="004B487C" w:rsidRDefault="004B487C">
      <w:pPr>
        <w:widowControl/>
        <w:spacing w:after="0" w:line="480" w:lineRule="auto"/>
        <w:ind w:firstLine="0"/>
        <w:jc w:val="center"/>
        <w:rPr>
          <w:b/>
          <w:bCs/>
        </w:rPr>
      </w:pPr>
    </w:p>
    <w:p w14:paraId="5B79D7CD" w14:textId="77777777" w:rsidR="004B487C" w:rsidRDefault="004B487C">
      <w:pPr>
        <w:widowControl/>
        <w:spacing w:after="0" w:line="480" w:lineRule="auto"/>
        <w:ind w:firstLine="0"/>
        <w:jc w:val="center"/>
        <w:rPr>
          <w:b/>
          <w:bCs/>
        </w:rPr>
      </w:pPr>
    </w:p>
    <w:p w14:paraId="6C58A82D" w14:textId="77777777" w:rsidR="004B487C" w:rsidRDefault="004B487C">
      <w:pPr>
        <w:widowControl/>
        <w:spacing w:after="0" w:line="480" w:lineRule="auto"/>
        <w:ind w:firstLine="0"/>
        <w:jc w:val="center"/>
        <w:rPr>
          <w:b/>
          <w:bCs/>
        </w:rPr>
      </w:pPr>
    </w:p>
    <w:p w14:paraId="2038C0A2" w14:textId="77777777" w:rsidR="004B487C" w:rsidRDefault="004B487C">
      <w:pPr>
        <w:widowControl/>
        <w:spacing w:after="0" w:line="480" w:lineRule="auto"/>
        <w:ind w:firstLine="0"/>
        <w:jc w:val="center"/>
        <w:rPr>
          <w:b/>
          <w:bCs/>
        </w:rPr>
      </w:pPr>
    </w:p>
    <w:p w14:paraId="3C42CB1D" w14:textId="77777777" w:rsidR="004B487C" w:rsidRDefault="004B487C">
      <w:pPr>
        <w:widowControl/>
        <w:spacing w:after="0" w:line="480" w:lineRule="auto"/>
        <w:ind w:firstLine="0"/>
        <w:jc w:val="center"/>
        <w:rPr>
          <w:b/>
          <w:bCs/>
        </w:rPr>
      </w:pPr>
    </w:p>
    <w:p w14:paraId="106D4FCE" w14:textId="77777777" w:rsidR="004B487C" w:rsidRDefault="004B487C">
      <w:pPr>
        <w:widowControl/>
        <w:spacing w:after="0" w:line="480" w:lineRule="auto"/>
        <w:ind w:firstLine="0"/>
        <w:jc w:val="center"/>
        <w:rPr>
          <w:b/>
          <w:bCs/>
        </w:rPr>
      </w:pPr>
    </w:p>
    <w:p w14:paraId="7F8D53E4" w14:textId="77777777" w:rsidR="004B487C" w:rsidRDefault="004B487C">
      <w:pPr>
        <w:widowControl/>
        <w:spacing w:after="0" w:line="480" w:lineRule="auto"/>
        <w:ind w:firstLine="0"/>
        <w:jc w:val="center"/>
        <w:rPr>
          <w:b/>
          <w:bCs/>
        </w:rPr>
      </w:pPr>
    </w:p>
    <w:p w14:paraId="6976DD37" w14:textId="77777777" w:rsidR="004B487C" w:rsidRDefault="004B487C">
      <w:pPr>
        <w:widowControl/>
        <w:spacing w:after="0" w:line="480" w:lineRule="auto"/>
        <w:ind w:firstLine="0"/>
        <w:jc w:val="center"/>
        <w:rPr>
          <w:b/>
          <w:bCs/>
        </w:rPr>
      </w:pPr>
    </w:p>
    <w:p w14:paraId="10118457" w14:textId="77777777" w:rsidR="004B487C" w:rsidRDefault="00000000">
      <w:pPr>
        <w:widowControl/>
        <w:spacing w:after="0" w:line="480" w:lineRule="auto"/>
        <w:ind w:firstLine="0"/>
        <w:jc w:val="center"/>
        <w:rPr>
          <w:sz w:val="20"/>
          <w:szCs w:val="20"/>
        </w:rPr>
      </w:pPr>
      <w:r>
        <w:rPr>
          <w:b/>
          <w:bCs/>
        </w:rPr>
        <w:t>An Interview with Scot Danforth, Author of</w:t>
      </w:r>
    </w:p>
    <w:p w14:paraId="0B0EACAA" w14:textId="77777777" w:rsidR="004B487C" w:rsidRDefault="00000000">
      <w:pPr>
        <w:widowControl/>
        <w:spacing w:after="0" w:line="480" w:lineRule="auto"/>
        <w:ind w:firstLine="0"/>
        <w:jc w:val="center"/>
        <w:rPr>
          <w:sz w:val="20"/>
          <w:szCs w:val="20"/>
        </w:rPr>
      </w:pPr>
      <w:r>
        <w:rPr>
          <w:b/>
          <w:bCs/>
        </w:rPr>
        <w:t xml:space="preserve">An Independent Man: Ed Roberts and the Fight for Disability Rights </w:t>
      </w:r>
      <w:r>
        <w:rPr>
          <w:b/>
          <w:bCs/>
        </w:rPr>
        <w:br/>
      </w:r>
      <w:r>
        <w:t xml:space="preserve"> </w:t>
      </w:r>
    </w:p>
    <w:p w14:paraId="4D02ABEE" w14:textId="77777777" w:rsidR="004B487C" w:rsidRDefault="00000000">
      <w:pPr>
        <w:widowControl/>
        <w:spacing w:after="0" w:line="480" w:lineRule="auto"/>
        <w:jc w:val="both"/>
        <w:rPr>
          <w:sz w:val="20"/>
          <w:szCs w:val="20"/>
        </w:rPr>
      </w:pPr>
      <w:r>
        <w:t xml:space="preserve">The following interview with Scot Danforth, author of </w:t>
      </w:r>
      <w:r>
        <w:rPr>
          <w:i/>
          <w:iCs/>
        </w:rPr>
        <w:t>An Independent Man: Ed Roberts and the Fight for Disability Rights</w:t>
      </w:r>
      <w:r>
        <w:t xml:space="preserve"> (University of California Press, 2025), was conducted March 19, 2026, remotely via Zoom, by Raphael </w:t>
      </w:r>
      <w:proofErr w:type="spellStart"/>
      <w:r>
        <w:t>Raphael</w:t>
      </w:r>
      <w:proofErr w:type="spellEnd"/>
      <w:r>
        <w:t>. Text may have minor revisions for clarity.</w:t>
      </w:r>
    </w:p>
    <w:p w14:paraId="7A8AAFCF" w14:textId="77777777" w:rsidR="004B487C" w:rsidRDefault="00000000">
      <w:pPr>
        <w:widowControl/>
        <w:spacing w:after="0" w:line="480" w:lineRule="auto"/>
        <w:ind w:firstLine="0"/>
        <w:rPr>
          <w:sz w:val="20"/>
          <w:szCs w:val="20"/>
        </w:rPr>
      </w:pPr>
      <w:r>
        <w:t xml:space="preserve"> </w:t>
      </w:r>
    </w:p>
    <w:p w14:paraId="35879D0C" w14:textId="6BD8419E" w:rsidR="004B487C" w:rsidRDefault="00000000">
      <w:pPr>
        <w:widowControl/>
        <w:spacing w:after="0" w:line="480" w:lineRule="auto"/>
        <w:ind w:firstLine="0"/>
        <w:jc w:val="both"/>
        <w:rPr>
          <w:sz w:val="20"/>
          <w:szCs w:val="20"/>
        </w:rPr>
      </w:pPr>
      <w:r>
        <w:rPr>
          <w:b/>
          <w:bCs/>
        </w:rPr>
        <w:t xml:space="preserve">RR: </w:t>
      </w:r>
      <w:r>
        <w:t>I really enjoyed this book and think it’s going to do amazing work in amplifying and magnifying the impact of this remarkable man. First thing, how did the idea for Independent Man first emerge? What made Ed Roberts the figure you felt you had to write about?</w:t>
      </w:r>
    </w:p>
    <w:p w14:paraId="2EA0B126" w14:textId="77777777" w:rsidR="004B487C" w:rsidRDefault="00000000">
      <w:pPr>
        <w:widowControl/>
        <w:spacing w:after="0" w:line="480" w:lineRule="auto"/>
        <w:ind w:firstLine="0"/>
        <w:rPr>
          <w:sz w:val="20"/>
          <w:szCs w:val="20"/>
        </w:rPr>
      </w:pPr>
      <w:r>
        <w:t xml:space="preserve"> </w:t>
      </w:r>
    </w:p>
    <w:p w14:paraId="65B8C5D6" w14:textId="77777777" w:rsidR="004B487C" w:rsidRDefault="00000000">
      <w:pPr>
        <w:widowControl/>
        <w:spacing w:after="0" w:line="480" w:lineRule="auto"/>
        <w:ind w:firstLine="0"/>
        <w:jc w:val="both"/>
        <w:rPr>
          <w:sz w:val="20"/>
          <w:szCs w:val="20"/>
        </w:rPr>
      </w:pPr>
      <w:r>
        <w:rPr>
          <w:b/>
          <w:bCs/>
        </w:rPr>
        <w:t xml:space="preserve">SD: </w:t>
      </w:r>
      <w:r>
        <w:t xml:space="preserve">It began with my own curiosity about how the disability rights movement in the United States began. Which, of course, no historian will tell you began in one place at one time. But I began by studying Ed Roberts and the Rolling Quads, which was a student group of activists in 1969 in Berkeley. And so that led to one academic article. But then I started thinking, well, these well-known disability rights leaders—you know, Judy </w:t>
      </w:r>
      <w:proofErr w:type="spellStart"/>
      <w:r>
        <w:t>Heumann</w:t>
      </w:r>
      <w:proofErr w:type="spellEnd"/>
      <w:r>
        <w:t xml:space="preserve">, Ed Roberts, Hale </w:t>
      </w:r>
      <w:proofErr w:type="spellStart"/>
      <w:r>
        <w:t>Zukas</w:t>
      </w:r>
      <w:proofErr w:type="spellEnd"/>
      <w:r>
        <w:t xml:space="preserve">—do people know about them? I mean, everyday people. Do they even have access to these stories? And there’s so little written. I did academic, quote-unquote, research. But my goal all along, and thankfully my publisher got it, was to write for the public, to be able to tell stories that the public could take in. Because how this movement grew, and the people involved, and the incredible brilliance of it all, and the courage, and the fight—it’s the kind of </w:t>
      </w:r>
      <w:r>
        <w:lastRenderedPageBreak/>
        <w:t>thing that everyday people on the street should know about. And I was kind of shocked that we didn’t have biographies of our leading disability rights leaders. We just don’t have those kinds of books. And Ed was right at the tip of my fingertips, because there I was, working on a Berkeley story, and I started realizing how fascinating it was, so I just ran with it.</w:t>
      </w:r>
    </w:p>
    <w:p w14:paraId="7C8A8412" w14:textId="77777777" w:rsidR="004B487C" w:rsidRDefault="00000000">
      <w:pPr>
        <w:widowControl/>
        <w:spacing w:after="0" w:line="480" w:lineRule="auto"/>
        <w:ind w:firstLine="0"/>
        <w:rPr>
          <w:sz w:val="20"/>
          <w:szCs w:val="20"/>
        </w:rPr>
      </w:pPr>
      <w:r>
        <w:t xml:space="preserve"> </w:t>
      </w:r>
    </w:p>
    <w:p w14:paraId="68F9A4DE" w14:textId="77777777" w:rsidR="004B487C" w:rsidRDefault="00000000">
      <w:pPr>
        <w:widowControl/>
        <w:spacing w:after="0" w:line="480" w:lineRule="auto"/>
        <w:ind w:firstLine="0"/>
        <w:jc w:val="both"/>
        <w:rPr>
          <w:sz w:val="20"/>
          <w:szCs w:val="20"/>
        </w:rPr>
      </w:pPr>
      <w:r>
        <w:rPr>
          <w:b/>
          <w:bCs/>
        </w:rPr>
        <w:t xml:space="preserve">RR: </w:t>
      </w:r>
      <w:r>
        <w:t>That really comes through in the accessibility of the work. It’s a page-turner.</w:t>
      </w:r>
    </w:p>
    <w:p w14:paraId="4C36BBEE" w14:textId="77777777" w:rsidR="004B487C" w:rsidRDefault="00000000">
      <w:pPr>
        <w:widowControl/>
        <w:spacing w:after="0" w:line="480" w:lineRule="auto"/>
        <w:ind w:firstLine="0"/>
        <w:rPr>
          <w:sz w:val="20"/>
          <w:szCs w:val="20"/>
        </w:rPr>
      </w:pPr>
      <w:r>
        <w:t xml:space="preserve"> </w:t>
      </w:r>
    </w:p>
    <w:p w14:paraId="6AD466C9" w14:textId="77777777" w:rsidR="004B487C" w:rsidRDefault="00000000">
      <w:pPr>
        <w:widowControl/>
        <w:spacing w:after="0" w:line="480" w:lineRule="auto"/>
        <w:ind w:firstLine="0"/>
        <w:jc w:val="both"/>
        <w:rPr>
          <w:sz w:val="20"/>
          <w:szCs w:val="20"/>
        </w:rPr>
      </w:pPr>
      <w:r>
        <w:rPr>
          <w:b/>
          <w:bCs/>
        </w:rPr>
        <w:t xml:space="preserve">SD: </w:t>
      </w:r>
      <w:r>
        <w:t xml:space="preserve">Good, I’m glad, because I realized at one point that in academic writing, people read it because they </w:t>
      </w:r>
      <w:proofErr w:type="gramStart"/>
      <w:r>
        <w:t>have to</w:t>
      </w:r>
      <w:proofErr w:type="gramEnd"/>
      <w:r>
        <w:t>, they’re paid to. But out in the world, somebody said to me, why should I read till the next page?</w:t>
      </w:r>
    </w:p>
    <w:p w14:paraId="7178183D" w14:textId="77777777" w:rsidR="004B487C" w:rsidRDefault="00000000">
      <w:pPr>
        <w:widowControl/>
        <w:spacing w:after="0" w:line="480" w:lineRule="auto"/>
        <w:ind w:firstLine="0"/>
        <w:rPr>
          <w:sz w:val="20"/>
          <w:szCs w:val="20"/>
        </w:rPr>
      </w:pPr>
      <w:r>
        <w:t xml:space="preserve"> </w:t>
      </w:r>
    </w:p>
    <w:p w14:paraId="2746D9AB" w14:textId="77777777" w:rsidR="004B487C" w:rsidRDefault="00000000">
      <w:pPr>
        <w:widowControl/>
        <w:spacing w:after="0" w:line="480" w:lineRule="auto"/>
        <w:ind w:firstLine="0"/>
        <w:jc w:val="both"/>
        <w:rPr>
          <w:sz w:val="20"/>
          <w:szCs w:val="20"/>
        </w:rPr>
      </w:pPr>
      <w:r>
        <w:rPr>
          <w:b/>
          <w:bCs/>
        </w:rPr>
        <w:t xml:space="preserve">RR: </w:t>
      </w:r>
      <w:r>
        <w:t>Exactly.</w:t>
      </w:r>
    </w:p>
    <w:p w14:paraId="64193230" w14:textId="77777777" w:rsidR="004B487C" w:rsidRDefault="00000000">
      <w:pPr>
        <w:widowControl/>
        <w:spacing w:after="0" w:line="480" w:lineRule="auto"/>
        <w:ind w:firstLine="0"/>
        <w:rPr>
          <w:sz w:val="20"/>
          <w:szCs w:val="20"/>
        </w:rPr>
      </w:pPr>
      <w:r>
        <w:t xml:space="preserve"> </w:t>
      </w:r>
    </w:p>
    <w:p w14:paraId="35A736B3" w14:textId="77777777" w:rsidR="004B487C" w:rsidRDefault="00000000">
      <w:pPr>
        <w:widowControl/>
        <w:spacing w:after="0" w:line="480" w:lineRule="auto"/>
        <w:ind w:firstLine="0"/>
        <w:jc w:val="both"/>
        <w:rPr>
          <w:sz w:val="20"/>
          <w:szCs w:val="20"/>
        </w:rPr>
      </w:pPr>
      <w:r>
        <w:rPr>
          <w:b/>
          <w:bCs/>
        </w:rPr>
        <w:t xml:space="preserve">SD: </w:t>
      </w:r>
      <w:r>
        <w:t>And I thought, why should you read? Because there’s a really good story here, if I can figure out how to tell it.</w:t>
      </w:r>
    </w:p>
    <w:p w14:paraId="6AEA5401" w14:textId="77777777" w:rsidR="004B487C" w:rsidRDefault="00000000">
      <w:pPr>
        <w:widowControl/>
        <w:spacing w:after="0" w:line="480" w:lineRule="auto"/>
        <w:ind w:firstLine="0"/>
        <w:rPr>
          <w:sz w:val="20"/>
          <w:szCs w:val="20"/>
        </w:rPr>
      </w:pPr>
      <w:r>
        <w:t xml:space="preserve"> </w:t>
      </w:r>
    </w:p>
    <w:p w14:paraId="3AA5A88B" w14:textId="77777777" w:rsidR="004B487C" w:rsidRDefault="00000000">
      <w:pPr>
        <w:widowControl/>
        <w:spacing w:after="0" w:line="480" w:lineRule="auto"/>
        <w:ind w:firstLine="0"/>
        <w:jc w:val="both"/>
        <w:rPr>
          <w:sz w:val="20"/>
          <w:szCs w:val="20"/>
        </w:rPr>
      </w:pPr>
      <w:r>
        <w:rPr>
          <w:b/>
          <w:bCs/>
        </w:rPr>
        <w:t xml:space="preserve">RR: </w:t>
      </w:r>
      <w:r>
        <w:t xml:space="preserve">It’s clear in each page that you are doing that—why should I read to the next page? And it’s </w:t>
      </w:r>
      <w:proofErr w:type="gramStart"/>
      <w:r>
        <w:t>definitely very</w:t>
      </w:r>
      <w:proofErr w:type="gramEnd"/>
      <w:r>
        <w:t xml:space="preserve"> accessible for the public. And it almost seems like it would be sacrilege if it was dry, given his personality and life. How long did it take from initial idea to publication?</w:t>
      </w:r>
    </w:p>
    <w:p w14:paraId="003FB1D8" w14:textId="77777777" w:rsidR="004B487C" w:rsidRDefault="00000000">
      <w:pPr>
        <w:widowControl/>
        <w:spacing w:after="0" w:line="480" w:lineRule="auto"/>
        <w:ind w:firstLine="0"/>
        <w:rPr>
          <w:sz w:val="20"/>
          <w:szCs w:val="20"/>
        </w:rPr>
      </w:pPr>
      <w:r>
        <w:t xml:space="preserve"> </w:t>
      </w:r>
    </w:p>
    <w:p w14:paraId="26965AAD" w14:textId="77777777" w:rsidR="004B487C" w:rsidRDefault="00000000">
      <w:pPr>
        <w:widowControl/>
        <w:spacing w:after="0" w:line="480" w:lineRule="auto"/>
        <w:ind w:firstLine="0"/>
        <w:jc w:val="both"/>
        <w:rPr>
          <w:sz w:val="20"/>
          <w:szCs w:val="20"/>
        </w:rPr>
      </w:pPr>
      <w:r>
        <w:rPr>
          <w:b/>
          <w:bCs/>
        </w:rPr>
        <w:t xml:space="preserve">SD: </w:t>
      </w:r>
      <w:r>
        <w:t>8 years of research and writing. Which meant I rewrote it many, many times.</w:t>
      </w:r>
    </w:p>
    <w:p w14:paraId="712162F5" w14:textId="77777777" w:rsidR="004B487C" w:rsidRDefault="00000000">
      <w:pPr>
        <w:widowControl/>
        <w:spacing w:after="0" w:line="480" w:lineRule="auto"/>
        <w:ind w:firstLine="0"/>
        <w:rPr>
          <w:sz w:val="20"/>
          <w:szCs w:val="20"/>
        </w:rPr>
      </w:pPr>
      <w:r>
        <w:t xml:space="preserve"> </w:t>
      </w:r>
    </w:p>
    <w:p w14:paraId="28DE3D80" w14:textId="77777777" w:rsidR="004B487C" w:rsidRDefault="00000000">
      <w:pPr>
        <w:widowControl/>
        <w:spacing w:after="0" w:line="480" w:lineRule="auto"/>
        <w:ind w:firstLine="0"/>
        <w:jc w:val="both"/>
        <w:rPr>
          <w:sz w:val="20"/>
          <w:szCs w:val="20"/>
        </w:rPr>
      </w:pPr>
      <w:r>
        <w:rPr>
          <w:b/>
          <w:bCs/>
        </w:rPr>
        <w:t xml:space="preserve">RR: </w:t>
      </w:r>
      <w:r>
        <w:t xml:space="preserve">And what did your time </w:t>
      </w:r>
      <w:proofErr w:type="gramStart"/>
      <w:r>
        <w:t>actually feel</w:t>
      </w:r>
      <w:proofErr w:type="gramEnd"/>
      <w:r>
        <w:t xml:space="preserve"> like day-to-day? In the creation of the work.</w:t>
      </w:r>
    </w:p>
    <w:p w14:paraId="70EA31F0" w14:textId="77777777" w:rsidR="004B487C" w:rsidRDefault="00000000">
      <w:pPr>
        <w:widowControl/>
        <w:spacing w:after="0" w:line="480" w:lineRule="auto"/>
        <w:ind w:firstLine="0"/>
        <w:rPr>
          <w:sz w:val="20"/>
          <w:szCs w:val="20"/>
        </w:rPr>
      </w:pPr>
      <w:r>
        <w:t xml:space="preserve"> </w:t>
      </w:r>
    </w:p>
    <w:p w14:paraId="638AA73E" w14:textId="77777777" w:rsidR="004B487C" w:rsidRDefault="00000000">
      <w:pPr>
        <w:widowControl/>
        <w:spacing w:after="0" w:line="480" w:lineRule="auto"/>
        <w:ind w:firstLine="0"/>
        <w:jc w:val="both"/>
        <w:rPr>
          <w:sz w:val="20"/>
          <w:szCs w:val="20"/>
        </w:rPr>
      </w:pPr>
      <w:r>
        <w:rPr>
          <w:b/>
          <w:bCs/>
        </w:rPr>
        <w:lastRenderedPageBreak/>
        <w:t xml:space="preserve">SD: </w:t>
      </w:r>
      <w:r>
        <w:t xml:space="preserve">I ended up with a mantra, which was—because I was doing library research, archives, I was interviewing people—my mantra was, I can’t write this book. But I can do the work today. And I just did it day to day to day, assuming that it would all add up. Because it’s just too big. A life… The burden, to me, the burden of having to represent the life of Ed Roberts—that’s too much for me to think I can do. At the beginning, I will tell you, I went immediately to start, and I met with his brother Mark, his younger brother, and I met with his mother, Zona. </w:t>
      </w:r>
      <w:proofErr w:type="gramStart"/>
      <w:r>
        <w:t>So</w:t>
      </w:r>
      <w:proofErr w:type="gramEnd"/>
      <w:r>
        <w:t xml:space="preserve"> I had sort of these two people expecting something. And I thought, oh boy, I better get going.</w:t>
      </w:r>
    </w:p>
    <w:p w14:paraId="593ED44E" w14:textId="77777777" w:rsidR="004B487C" w:rsidRDefault="00000000">
      <w:pPr>
        <w:widowControl/>
        <w:spacing w:after="0" w:line="480" w:lineRule="auto"/>
        <w:ind w:firstLine="0"/>
        <w:rPr>
          <w:sz w:val="20"/>
          <w:szCs w:val="20"/>
        </w:rPr>
      </w:pPr>
      <w:r>
        <w:t xml:space="preserve"> </w:t>
      </w:r>
    </w:p>
    <w:p w14:paraId="5A63ABEC" w14:textId="77777777" w:rsidR="004B487C" w:rsidRDefault="00000000">
      <w:pPr>
        <w:widowControl/>
        <w:spacing w:after="0" w:line="480" w:lineRule="auto"/>
        <w:ind w:firstLine="0"/>
        <w:jc w:val="both"/>
        <w:rPr>
          <w:sz w:val="20"/>
          <w:szCs w:val="20"/>
        </w:rPr>
      </w:pPr>
      <w:r>
        <w:rPr>
          <w:b/>
          <w:bCs/>
        </w:rPr>
        <w:t xml:space="preserve">RR: </w:t>
      </w:r>
      <w:r>
        <w:t>Yeah. And Zona was up to a hundred and…?</w:t>
      </w:r>
    </w:p>
    <w:p w14:paraId="3CC752AD" w14:textId="77777777" w:rsidR="004B487C" w:rsidRDefault="00000000">
      <w:pPr>
        <w:widowControl/>
        <w:spacing w:after="0" w:line="480" w:lineRule="auto"/>
        <w:ind w:firstLine="0"/>
        <w:rPr>
          <w:sz w:val="20"/>
          <w:szCs w:val="20"/>
        </w:rPr>
      </w:pPr>
      <w:r>
        <w:t xml:space="preserve"> </w:t>
      </w:r>
    </w:p>
    <w:p w14:paraId="45BB9DCD" w14:textId="77777777" w:rsidR="004B487C" w:rsidRDefault="00000000">
      <w:pPr>
        <w:widowControl/>
        <w:spacing w:after="0" w:line="480" w:lineRule="auto"/>
        <w:ind w:firstLine="0"/>
        <w:jc w:val="both"/>
        <w:rPr>
          <w:sz w:val="20"/>
          <w:szCs w:val="20"/>
        </w:rPr>
      </w:pPr>
      <w:r>
        <w:rPr>
          <w:b/>
          <w:bCs/>
        </w:rPr>
        <w:t xml:space="preserve">SD: </w:t>
      </w:r>
      <w:r>
        <w:t>105 she lived to, yes.</w:t>
      </w:r>
    </w:p>
    <w:p w14:paraId="49A18AFA" w14:textId="77777777" w:rsidR="004B487C" w:rsidRDefault="00000000">
      <w:pPr>
        <w:widowControl/>
        <w:spacing w:after="0" w:line="480" w:lineRule="auto"/>
        <w:ind w:firstLine="0"/>
        <w:rPr>
          <w:sz w:val="20"/>
          <w:szCs w:val="20"/>
        </w:rPr>
      </w:pPr>
      <w:r>
        <w:t xml:space="preserve"> </w:t>
      </w:r>
    </w:p>
    <w:p w14:paraId="555D79ED" w14:textId="77777777" w:rsidR="004B487C" w:rsidRDefault="00000000">
      <w:pPr>
        <w:widowControl/>
        <w:spacing w:after="0" w:line="480" w:lineRule="auto"/>
        <w:ind w:firstLine="0"/>
        <w:jc w:val="both"/>
        <w:rPr>
          <w:sz w:val="20"/>
          <w:szCs w:val="20"/>
        </w:rPr>
      </w:pPr>
      <w:r>
        <w:rPr>
          <w:b/>
          <w:bCs/>
        </w:rPr>
        <w:t xml:space="preserve">RR: </w:t>
      </w:r>
      <w:proofErr w:type="gramStart"/>
      <w:r>
        <w:t>Oh</w:t>
      </w:r>
      <w:proofErr w:type="gramEnd"/>
      <w:r>
        <w:t xml:space="preserve"> my goodness, that’s amazing. Well, with this journey, how did the process of writing the book change the way that you understand Ed Roberts, and perhaps disability itself and the movement?</w:t>
      </w:r>
    </w:p>
    <w:p w14:paraId="7E1B6285" w14:textId="77777777" w:rsidR="004B487C" w:rsidRDefault="00000000">
      <w:pPr>
        <w:widowControl/>
        <w:spacing w:after="0" w:line="480" w:lineRule="auto"/>
        <w:ind w:firstLine="0"/>
        <w:rPr>
          <w:sz w:val="20"/>
          <w:szCs w:val="20"/>
        </w:rPr>
      </w:pPr>
      <w:r>
        <w:t xml:space="preserve"> </w:t>
      </w:r>
    </w:p>
    <w:p w14:paraId="7B9F77F5" w14:textId="77777777" w:rsidR="004B487C" w:rsidRDefault="00000000">
      <w:pPr>
        <w:widowControl/>
        <w:spacing w:after="0" w:line="480" w:lineRule="auto"/>
        <w:ind w:firstLine="0"/>
        <w:jc w:val="both"/>
        <w:rPr>
          <w:sz w:val="20"/>
          <w:szCs w:val="20"/>
        </w:rPr>
      </w:pPr>
      <w:r>
        <w:rPr>
          <w:b/>
          <w:bCs/>
        </w:rPr>
        <w:t xml:space="preserve">SD: </w:t>
      </w:r>
      <w:r>
        <w:t xml:space="preserve">Boy, I think… I hope it comes through that I learned about the creativity of Ed—and I try to write about many, many more people than Ed Roberts—but the creativity of conjuring up a valuable existence when the people around you are not granting you that, not assuming that. And </w:t>
      </w:r>
      <w:proofErr w:type="gramStart"/>
      <w:r>
        <w:t>so</w:t>
      </w:r>
      <w:proofErr w:type="gramEnd"/>
      <w:r>
        <w:t xml:space="preserve"> the incredible strength and creativity it takes to do that, especially—I know things are difficult now, but they were even worse in the 1950s and 1960s. And </w:t>
      </w:r>
      <w:proofErr w:type="gramStart"/>
      <w:r>
        <w:t>so</w:t>
      </w:r>
      <w:proofErr w:type="gramEnd"/>
      <w:r>
        <w:t xml:space="preserve"> you end up with a character like Ed, who was not just imaginative, but was over the top. He figured out that going far enough is never going far enough. You </w:t>
      </w:r>
      <w:proofErr w:type="gramStart"/>
      <w:r>
        <w:t>have to</w:t>
      </w:r>
      <w:proofErr w:type="gramEnd"/>
      <w:r>
        <w:t xml:space="preserve"> go too far. And he did everything bigger than big. The other thing was the whole theme of fighting, which I think runs through the book, that Ed learned very early on that if he was going to live a worthwhile life, a rich life, a life in </w:t>
      </w:r>
      <w:r>
        <w:lastRenderedPageBreak/>
        <w:t xml:space="preserve">the community, he was going to have to fight. And initially, it was just for himself. But wonderfully, at Berkeley, he joined together with others and found what we know as a movement. Which is—sometimes you </w:t>
      </w:r>
      <w:proofErr w:type="gramStart"/>
      <w:r>
        <w:t>have to</w:t>
      </w:r>
      <w:proofErr w:type="gramEnd"/>
      <w:r>
        <w:t xml:space="preserve"> fight for yourself, but if you fight with your friends and with your colleagues and your comrades, for a larger goal for all of us, that’s when it really gets interesting. And that’s when it’s even more fulfilling and powerful.</w:t>
      </w:r>
    </w:p>
    <w:p w14:paraId="2FC9E492" w14:textId="77777777" w:rsidR="004B487C" w:rsidRDefault="00000000">
      <w:pPr>
        <w:widowControl/>
        <w:spacing w:after="0" w:line="480" w:lineRule="auto"/>
        <w:ind w:firstLine="0"/>
        <w:rPr>
          <w:sz w:val="20"/>
          <w:szCs w:val="20"/>
        </w:rPr>
      </w:pPr>
      <w:r>
        <w:t xml:space="preserve"> </w:t>
      </w:r>
    </w:p>
    <w:p w14:paraId="6F528489" w14:textId="77777777" w:rsidR="004B487C" w:rsidRDefault="00000000">
      <w:pPr>
        <w:widowControl/>
        <w:spacing w:after="0" w:line="480" w:lineRule="auto"/>
        <w:ind w:firstLine="0"/>
        <w:jc w:val="both"/>
        <w:rPr>
          <w:sz w:val="20"/>
          <w:szCs w:val="20"/>
        </w:rPr>
      </w:pPr>
      <w:r>
        <w:rPr>
          <w:b/>
          <w:bCs/>
        </w:rPr>
        <w:t xml:space="preserve">RR: </w:t>
      </w:r>
      <w:r>
        <w:t xml:space="preserve">And this creative essence of him really comes through in the way that, even just as an early young man, in envisioning his reaction to the public as his celebrity. As a young guy, I thought that was </w:t>
      </w:r>
      <w:proofErr w:type="gramStart"/>
      <w:r>
        <w:t>really remarkable</w:t>
      </w:r>
      <w:proofErr w:type="gramEnd"/>
      <w:r>
        <w:t>.</w:t>
      </w:r>
    </w:p>
    <w:p w14:paraId="4BB37142" w14:textId="77777777" w:rsidR="004B487C" w:rsidRDefault="00000000">
      <w:pPr>
        <w:widowControl/>
        <w:spacing w:after="0" w:line="480" w:lineRule="auto"/>
        <w:ind w:firstLine="0"/>
        <w:rPr>
          <w:sz w:val="20"/>
          <w:szCs w:val="20"/>
        </w:rPr>
      </w:pPr>
      <w:r>
        <w:t xml:space="preserve"> </w:t>
      </w:r>
    </w:p>
    <w:p w14:paraId="3E0CC39F" w14:textId="77777777" w:rsidR="004B487C" w:rsidRDefault="00000000">
      <w:pPr>
        <w:widowControl/>
        <w:spacing w:after="0" w:line="480" w:lineRule="auto"/>
        <w:ind w:firstLine="0"/>
        <w:jc w:val="both"/>
        <w:rPr>
          <w:sz w:val="20"/>
          <w:szCs w:val="20"/>
        </w:rPr>
      </w:pPr>
      <w:r>
        <w:rPr>
          <w:b/>
          <w:bCs/>
        </w:rPr>
        <w:t xml:space="preserve">SD: </w:t>
      </w:r>
      <w:r>
        <w:t>Yes, and later when he told those stories, he told them very matter-of-factly, like, you know, I just viewed myself as a celebrity because they were staring at me. It’s not that simple. That was hard work, over years, for him to think of himself in that way, under those situations of being stared at.</w:t>
      </w:r>
    </w:p>
    <w:p w14:paraId="0AB99204" w14:textId="77777777" w:rsidR="004B487C" w:rsidRDefault="00000000">
      <w:pPr>
        <w:widowControl/>
        <w:spacing w:after="0" w:line="480" w:lineRule="auto"/>
        <w:ind w:firstLine="0"/>
        <w:rPr>
          <w:sz w:val="20"/>
          <w:szCs w:val="20"/>
        </w:rPr>
      </w:pPr>
      <w:r>
        <w:t xml:space="preserve"> </w:t>
      </w:r>
    </w:p>
    <w:p w14:paraId="0C236279" w14:textId="77777777" w:rsidR="004B487C" w:rsidRDefault="00000000">
      <w:pPr>
        <w:widowControl/>
        <w:spacing w:after="0" w:line="480" w:lineRule="auto"/>
        <w:ind w:firstLine="0"/>
        <w:jc w:val="both"/>
        <w:rPr>
          <w:sz w:val="20"/>
          <w:szCs w:val="20"/>
        </w:rPr>
      </w:pPr>
      <w:r>
        <w:rPr>
          <w:b/>
          <w:bCs/>
        </w:rPr>
        <w:t xml:space="preserve">RR: </w:t>
      </w:r>
      <w:r>
        <w:t>And I like the way you’re describing this trajectory of fighting—first for himself, and then joining a community and making that a larger battle. And I really liked in the book the ways in which we kind of get a real clear sense of where he’s learning this from, and what these elements are—from his mom, from everything happening in Berkeley, from the various movements that are in the atmosphere. And I really liked—also, I didn’t know about his taking karate. What a real surprise to me!</w:t>
      </w:r>
    </w:p>
    <w:p w14:paraId="44856637" w14:textId="77777777" w:rsidR="004B487C" w:rsidRDefault="00000000">
      <w:pPr>
        <w:widowControl/>
        <w:spacing w:after="0" w:line="480" w:lineRule="auto"/>
        <w:ind w:firstLine="0"/>
        <w:rPr>
          <w:sz w:val="20"/>
          <w:szCs w:val="20"/>
        </w:rPr>
      </w:pPr>
      <w:r>
        <w:t xml:space="preserve"> </w:t>
      </w:r>
    </w:p>
    <w:p w14:paraId="4CAF36E7" w14:textId="77777777" w:rsidR="004B487C" w:rsidRDefault="00000000">
      <w:pPr>
        <w:widowControl/>
        <w:spacing w:after="0" w:line="480" w:lineRule="auto"/>
        <w:ind w:firstLine="0"/>
        <w:jc w:val="both"/>
        <w:rPr>
          <w:sz w:val="20"/>
          <w:szCs w:val="20"/>
        </w:rPr>
      </w:pPr>
      <w:r>
        <w:rPr>
          <w:b/>
          <w:bCs/>
        </w:rPr>
        <w:t xml:space="preserve">SD: </w:t>
      </w:r>
      <w:r>
        <w:t>If you can… you can look online, if you dig around, you can find a video or two, and it’s just fun to see him. Essentially, he was taught his own self-defense, you know, because he’s not doing your standard karate moves.</w:t>
      </w:r>
    </w:p>
    <w:p w14:paraId="78DA1D79" w14:textId="77777777" w:rsidR="004B487C" w:rsidRDefault="00000000">
      <w:pPr>
        <w:widowControl/>
        <w:spacing w:after="0" w:line="480" w:lineRule="auto"/>
        <w:ind w:firstLine="0"/>
        <w:rPr>
          <w:sz w:val="20"/>
          <w:szCs w:val="20"/>
        </w:rPr>
      </w:pPr>
      <w:r>
        <w:lastRenderedPageBreak/>
        <w:t xml:space="preserve"> </w:t>
      </w:r>
    </w:p>
    <w:p w14:paraId="62A997D3" w14:textId="77777777" w:rsidR="004B487C" w:rsidRDefault="00000000">
      <w:pPr>
        <w:widowControl/>
        <w:spacing w:after="0" w:line="480" w:lineRule="auto"/>
        <w:ind w:firstLine="0"/>
        <w:jc w:val="both"/>
        <w:rPr>
          <w:sz w:val="20"/>
          <w:szCs w:val="20"/>
        </w:rPr>
      </w:pPr>
      <w:r>
        <w:t>But, you know, what can someone in a power wheelchair do? And when you watch some of these videos, you go, ooh, a power wheelchair is a big, heavy… you know, it’s quite a weapon if you know what to do with it.</w:t>
      </w:r>
    </w:p>
    <w:p w14:paraId="1F327702" w14:textId="77777777" w:rsidR="004B487C" w:rsidRDefault="00000000">
      <w:pPr>
        <w:widowControl/>
        <w:spacing w:after="0" w:line="480" w:lineRule="auto"/>
        <w:ind w:firstLine="0"/>
        <w:rPr>
          <w:sz w:val="20"/>
          <w:szCs w:val="20"/>
        </w:rPr>
      </w:pPr>
      <w:r>
        <w:t xml:space="preserve"> </w:t>
      </w:r>
    </w:p>
    <w:p w14:paraId="6E0C5D24" w14:textId="77777777" w:rsidR="004B487C" w:rsidRDefault="00000000">
      <w:pPr>
        <w:widowControl/>
        <w:spacing w:after="0" w:line="480" w:lineRule="auto"/>
        <w:ind w:firstLine="0"/>
        <w:jc w:val="both"/>
        <w:rPr>
          <w:sz w:val="20"/>
          <w:szCs w:val="20"/>
        </w:rPr>
      </w:pPr>
      <w:r>
        <w:rPr>
          <w:b/>
          <w:bCs/>
        </w:rPr>
        <w:t xml:space="preserve">RR: </w:t>
      </w:r>
      <w:r>
        <w:t>Yeah, but that was a real page turner moment. I couldn’t wait to see what’s on the next page when I heard he was about to start karate. Where are we going? Any other big surprise for you in your research about him?</w:t>
      </w:r>
    </w:p>
    <w:p w14:paraId="6B5E30FA" w14:textId="77777777" w:rsidR="004B487C" w:rsidRDefault="00000000">
      <w:pPr>
        <w:widowControl/>
        <w:spacing w:after="0" w:line="480" w:lineRule="auto"/>
        <w:ind w:firstLine="0"/>
        <w:rPr>
          <w:sz w:val="20"/>
          <w:szCs w:val="20"/>
        </w:rPr>
      </w:pPr>
      <w:r>
        <w:t xml:space="preserve"> </w:t>
      </w:r>
    </w:p>
    <w:p w14:paraId="1789CD40" w14:textId="77777777" w:rsidR="004B487C" w:rsidRDefault="00000000">
      <w:pPr>
        <w:widowControl/>
        <w:spacing w:after="0" w:line="480" w:lineRule="auto"/>
        <w:ind w:firstLine="0"/>
        <w:jc w:val="both"/>
        <w:rPr>
          <w:sz w:val="20"/>
          <w:szCs w:val="20"/>
        </w:rPr>
      </w:pPr>
      <w:r>
        <w:rPr>
          <w:b/>
          <w:bCs/>
        </w:rPr>
        <w:t xml:space="preserve">SD: </w:t>
      </w:r>
      <w:r>
        <w:t xml:space="preserve">Big surprises. I will tell you a personal piece that came up. Which was that… I knew all along I came from the perspective of being a non-disabled guy, and that in some ways makes me the wrong guy to write the book, I understand that. And </w:t>
      </w:r>
      <w:proofErr w:type="gramStart"/>
      <w:r>
        <w:t>otherwise</w:t>
      </w:r>
      <w:proofErr w:type="gramEnd"/>
      <w:r>
        <w:t xml:space="preserve"> I’m the right guy, because I was willing to do it, I guess. But </w:t>
      </w:r>
      <w:proofErr w:type="gramStart"/>
      <w:r>
        <w:t>in the midst of</w:t>
      </w:r>
      <w:proofErr w:type="gramEnd"/>
      <w:r>
        <w:t xml:space="preserve"> doing this, my son was diagnosed with autism in the 11th grade. Now, it answered many questions for us. </w:t>
      </w:r>
      <w:proofErr w:type="gramStart"/>
      <w:r>
        <w:t>And also</w:t>
      </w:r>
      <w:proofErr w:type="gramEnd"/>
      <w:r>
        <w:t xml:space="preserve">, you know, I’m supposed to know something about disability, but I’m obviously not a clinician. But </w:t>
      </w:r>
      <w:proofErr w:type="gramStart"/>
      <w:r>
        <w:t>so</w:t>
      </w:r>
      <w:proofErr w:type="gramEnd"/>
      <w:r>
        <w:t xml:space="preserve"> then we’re dealing with the special education system and the public schools, and the regional center in California, which is the system of developmental disability services. And so now, as I told a friend of mine, a good friend of mine who has a son with an intellectual disability, I said, I thought you were the father of the disabled kid. And I realized I am too. And it put me in a different position. It just changed my positioning in relation to this. But it also made me realize, too, that a book like this—you know, you think of the readers and the stories—either you have a disability, or you’re going to have a disability, or you have a family member or loved one who has a disability. That’s our society.</w:t>
      </w:r>
    </w:p>
    <w:p w14:paraId="1C93CF6B" w14:textId="77777777" w:rsidR="004B487C" w:rsidRDefault="00000000">
      <w:pPr>
        <w:widowControl/>
        <w:spacing w:after="0" w:line="480" w:lineRule="auto"/>
        <w:ind w:firstLine="0"/>
        <w:rPr>
          <w:sz w:val="20"/>
          <w:szCs w:val="20"/>
        </w:rPr>
      </w:pPr>
      <w:r>
        <w:t xml:space="preserve"> </w:t>
      </w:r>
    </w:p>
    <w:p w14:paraId="6D88F411" w14:textId="77777777" w:rsidR="004B487C" w:rsidRDefault="00000000">
      <w:pPr>
        <w:widowControl/>
        <w:spacing w:after="0" w:line="480" w:lineRule="auto"/>
        <w:ind w:firstLine="0"/>
        <w:jc w:val="both"/>
        <w:rPr>
          <w:sz w:val="20"/>
          <w:szCs w:val="20"/>
        </w:rPr>
      </w:pPr>
      <w:r>
        <w:rPr>
          <w:b/>
          <w:bCs/>
        </w:rPr>
        <w:t xml:space="preserve">RR: </w:t>
      </w:r>
      <w:r>
        <w:t>Yeah.</w:t>
      </w:r>
    </w:p>
    <w:p w14:paraId="3A0812DB" w14:textId="77777777" w:rsidR="004B487C" w:rsidRDefault="00000000">
      <w:pPr>
        <w:widowControl/>
        <w:spacing w:after="0" w:line="480" w:lineRule="auto"/>
        <w:ind w:firstLine="0"/>
        <w:rPr>
          <w:sz w:val="20"/>
          <w:szCs w:val="20"/>
        </w:rPr>
      </w:pPr>
      <w:r>
        <w:lastRenderedPageBreak/>
        <w:t xml:space="preserve"> </w:t>
      </w:r>
    </w:p>
    <w:p w14:paraId="62C83DF0" w14:textId="77777777" w:rsidR="004B487C" w:rsidRDefault="00000000">
      <w:pPr>
        <w:widowControl/>
        <w:spacing w:after="0" w:line="480" w:lineRule="auto"/>
        <w:ind w:firstLine="0"/>
        <w:jc w:val="both"/>
        <w:rPr>
          <w:sz w:val="20"/>
          <w:szCs w:val="20"/>
        </w:rPr>
      </w:pPr>
      <w:r>
        <w:rPr>
          <w:b/>
          <w:bCs/>
        </w:rPr>
        <w:t xml:space="preserve">SD: </w:t>
      </w:r>
      <w:r>
        <w:t>I mean, everyone has a close connection. They may not admit it, they may not know it, but it’s about all of us.</w:t>
      </w:r>
    </w:p>
    <w:p w14:paraId="36FD0CFC" w14:textId="77777777" w:rsidR="004B487C" w:rsidRDefault="00000000">
      <w:pPr>
        <w:widowControl/>
        <w:spacing w:after="0" w:line="480" w:lineRule="auto"/>
        <w:ind w:firstLine="0"/>
        <w:rPr>
          <w:sz w:val="20"/>
          <w:szCs w:val="20"/>
        </w:rPr>
      </w:pPr>
      <w:r>
        <w:t xml:space="preserve"> </w:t>
      </w:r>
    </w:p>
    <w:p w14:paraId="24E7EF7F" w14:textId="77777777" w:rsidR="004B487C" w:rsidRDefault="00000000">
      <w:pPr>
        <w:widowControl/>
        <w:spacing w:after="0" w:line="480" w:lineRule="auto"/>
        <w:ind w:firstLine="0"/>
        <w:jc w:val="both"/>
        <w:rPr>
          <w:sz w:val="20"/>
          <w:szCs w:val="20"/>
        </w:rPr>
      </w:pPr>
      <w:r>
        <w:rPr>
          <w:b/>
          <w:bCs/>
        </w:rPr>
        <w:t xml:space="preserve">RR: </w:t>
      </w:r>
      <w:r>
        <w:t>Yeah, I always say that disability is only relevant if you have a body.</w:t>
      </w:r>
    </w:p>
    <w:p w14:paraId="70DBADB4" w14:textId="77777777" w:rsidR="004B487C" w:rsidRDefault="00000000">
      <w:pPr>
        <w:widowControl/>
        <w:spacing w:after="0" w:line="480" w:lineRule="auto"/>
        <w:ind w:firstLine="0"/>
        <w:rPr>
          <w:sz w:val="20"/>
          <w:szCs w:val="20"/>
        </w:rPr>
      </w:pPr>
      <w:r>
        <w:t xml:space="preserve"> </w:t>
      </w:r>
    </w:p>
    <w:p w14:paraId="36A3D90A" w14:textId="77777777" w:rsidR="004B487C" w:rsidRDefault="00000000">
      <w:pPr>
        <w:widowControl/>
        <w:spacing w:after="0" w:line="480" w:lineRule="auto"/>
        <w:ind w:firstLine="0"/>
        <w:jc w:val="both"/>
        <w:rPr>
          <w:sz w:val="20"/>
          <w:szCs w:val="20"/>
        </w:rPr>
      </w:pPr>
      <w:r>
        <w:rPr>
          <w:b/>
          <w:bCs/>
        </w:rPr>
        <w:t xml:space="preserve">SD: </w:t>
      </w:r>
      <w:r>
        <w:t>That’s a good statement. I’m going to steal that. It’s so true, because our bodies are vulnerable, and our bodies don’t do what we want them to do, and in the end, they’re going to run out on us. But it just changed my perspective on the whole work to realize, oh, this is all of us. It is all of us.</w:t>
      </w:r>
    </w:p>
    <w:p w14:paraId="46CA17D8" w14:textId="77777777" w:rsidR="004B487C" w:rsidRDefault="00000000">
      <w:pPr>
        <w:widowControl/>
        <w:spacing w:after="0" w:line="480" w:lineRule="auto"/>
        <w:ind w:firstLine="0"/>
        <w:rPr>
          <w:sz w:val="20"/>
          <w:szCs w:val="20"/>
        </w:rPr>
      </w:pPr>
      <w:r>
        <w:t xml:space="preserve"> </w:t>
      </w:r>
    </w:p>
    <w:p w14:paraId="520190AF" w14:textId="77777777" w:rsidR="004B487C" w:rsidRDefault="00000000">
      <w:pPr>
        <w:widowControl/>
        <w:spacing w:after="0" w:line="480" w:lineRule="auto"/>
        <w:ind w:firstLine="0"/>
        <w:jc w:val="both"/>
        <w:rPr>
          <w:sz w:val="20"/>
          <w:szCs w:val="20"/>
        </w:rPr>
      </w:pPr>
      <w:r>
        <w:rPr>
          <w:b/>
          <w:bCs/>
        </w:rPr>
        <w:t xml:space="preserve">RR: </w:t>
      </w:r>
      <w:r>
        <w:t xml:space="preserve">It is all of us. And as your book really shows us, everyone’s experience of disability is so deeply tied to policy, environment, and </w:t>
      </w:r>
      <w:proofErr w:type="gramStart"/>
      <w:r>
        <w:t>all of</w:t>
      </w:r>
      <w:proofErr w:type="gramEnd"/>
      <w:r>
        <w:t xml:space="preserve"> these things that change what their experience is and their access to a full life, like the one Ed created for himself. Now, Steve Brown—I know he was a central figure, you know, for all of us, for disability studies, and here at University of Hawaii, and for the Review of Disability Studies—how was he involved in the book, before his passing?</w:t>
      </w:r>
    </w:p>
    <w:p w14:paraId="211873E6" w14:textId="77777777" w:rsidR="004B487C" w:rsidRDefault="00000000">
      <w:pPr>
        <w:widowControl/>
        <w:spacing w:after="0" w:line="480" w:lineRule="auto"/>
        <w:ind w:firstLine="0"/>
        <w:rPr>
          <w:sz w:val="20"/>
          <w:szCs w:val="20"/>
        </w:rPr>
      </w:pPr>
      <w:r>
        <w:t xml:space="preserve"> </w:t>
      </w:r>
    </w:p>
    <w:p w14:paraId="42230EBA" w14:textId="77777777" w:rsidR="004B487C" w:rsidRDefault="00000000">
      <w:pPr>
        <w:widowControl/>
        <w:spacing w:after="0" w:line="480" w:lineRule="auto"/>
        <w:ind w:firstLine="0"/>
        <w:jc w:val="both"/>
        <w:rPr>
          <w:sz w:val="20"/>
          <w:szCs w:val="20"/>
        </w:rPr>
      </w:pPr>
      <w:r>
        <w:rPr>
          <w:b/>
          <w:bCs/>
        </w:rPr>
        <w:t xml:space="preserve">SD: </w:t>
      </w:r>
      <w:r>
        <w:t>I knew Steve, I don’t even know how—you know how you know people and you don’t know how? I knew him just because we’re all in the same game. And then I heard that he had interviewed Ed and Zona. One of the problems was that there were lots of interviews already completed. And I conducted many, many interviews, but they really weren’t in-depth interviews with Ed, not to the extent that I wanted. There were magazine interviews. But Steve had all these tapes. And he mailed them to me!</w:t>
      </w:r>
    </w:p>
    <w:p w14:paraId="55F8DD0C" w14:textId="77777777" w:rsidR="004B487C" w:rsidRDefault="00000000">
      <w:pPr>
        <w:widowControl/>
        <w:spacing w:after="0" w:line="480" w:lineRule="auto"/>
        <w:ind w:firstLine="0"/>
        <w:rPr>
          <w:sz w:val="20"/>
          <w:szCs w:val="20"/>
        </w:rPr>
      </w:pPr>
      <w:r>
        <w:t xml:space="preserve"> </w:t>
      </w:r>
    </w:p>
    <w:p w14:paraId="4744E947" w14:textId="77777777" w:rsidR="004B487C" w:rsidRDefault="00000000">
      <w:pPr>
        <w:widowControl/>
        <w:spacing w:after="0" w:line="480" w:lineRule="auto"/>
        <w:ind w:firstLine="0"/>
        <w:jc w:val="both"/>
        <w:rPr>
          <w:sz w:val="20"/>
          <w:szCs w:val="20"/>
        </w:rPr>
      </w:pPr>
      <w:r>
        <w:rPr>
          <w:b/>
          <w:bCs/>
        </w:rPr>
        <w:lastRenderedPageBreak/>
        <w:t xml:space="preserve">RR: </w:t>
      </w:r>
      <w:r>
        <w:t>That’s amazing.</w:t>
      </w:r>
    </w:p>
    <w:p w14:paraId="39B6336B" w14:textId="77777777" w:rsidR="004B487C" w:rsidRDefault="00000000">
      <w:pPr>
        <w:widowControl/>
        <w:spacing w:after="0" w:line="480" w:lineRule="auto"/>
        <w:ind w:firstLine="0"/>
        <w:rPr>
          <w:sz w:val="20"/>
          <w:szCs w:val="20"/>
        </w:rPr>
      </w:pPr>
      <w:r>
        <w:t xml:space="preserve"> </w:t>
      </w:r>
    </w:p>
    <w:p w14:paraId="1DDF558F" w14:textId="77777777" w:rsidR="004B487C" w:rsidRDefault="00000000">
      <w:pPr>
        <w:widowControl/>
        <w:spacing w:after="0" w:line="480" w:lineRule="auto"/>
        <w:ind w:firstLine="0"/>
        <w:jc w:val="both"/>
        <w:rPr>
          <w:sz w:val="20"/>
          <w:szCs w:val="20"/>
        </w:rPr>
      </w:pPr>
      <w:r>
        <w:rPr>
          <w:b/>
          <w:bCs/>
        </w:rPr>
        <w:t xml:space="preserve">SD: </w:t>
      </w:r>
      <w:r>
        <w:t xml:space="preserve">He just mailed me all the interviews he did, and I listened. It was an incredible resource, just very, very helpful. And then also, to know that he was willing to do that, and that he was behind it—he told me, essentially, that this was what he had wanted to do. He wrote an article for Disability Studies Quarterly, but he really wanted to do what I ended up doing. And </w:t>
      </w:r>
      <w:proofErr w:type="gramStart"/>
      <w:r>
        <w:t>so</w:t>
      </w:r>
      <w:proofErr w:type="gramEnd"/>
      <w:r>
        <w:t xml:space="preserve"> I felt like I was picking up his baton and going forward.</w:t>
      </w:r>
    </w:p>
    <w:p w14:paraId="1BE1FF95" w14:textId="77777777" w:rsidR="004B487C" w:rsidRDefault="00000000">
      <w:pPr>
        <w:widowControl/>
        <w:spacing w:after="0" w:line="480" w:lineRule="auto"/>
        <w:ind w:firstLine="0"/>
        <w:rPr>
          <w:sz w:val="20"/>
          <w:szCs w:val="20"/>
        </w:rPr>
      </w:pPr>
      <w:r>
        <w:t xml:space="preserve"> </w:t>
      </w:r>
    </w:p>
    <w:p w14:paraId="4816A62F" w14:textId="77777777" w:rsidR="004B487C" w:rsidRDefault="00000000">
      <w:pPr>
        <w:widowControl/>
        <w:spacing w:after="0" w:line="480" w:lineRule="auto"/>
        <w:ind w:firstLine="0"/>
        <w:jc w:val="both"/>
        <w:rPr>
          <w:sz w:val="20"/>
          <w:szCs w:val="20"/>
        </w:rPr>
      </w:pPr>
      <w:r>
        <w:rPr>
          <w:b/>
          <w:bCs/>
        </w:rPr>
        <w:t xml:space="preserve">RR: </w:t>
      </w:r>
      <w:r>
        <w:t xml:space="preserve">That’s </w:t>
      </w:r>
      <w:proofErr w:type="gramStart"/>
      <w:r>
        <w:t>really neat</w:t>
      </w:r>
      <w:proofErr w:type="gramEnd"/>
      <w:r>
        <w:t xml:space="preserve">. He was a big mentor to many of us, including me—he kind of connected me initially to the University of Hawaii. You mentioned a little bit about the impact of this research on changing the way you look at your own life and your own relationship with disability. For folks—what do you think, after </w:t>
      </w:r>
      <w:proofErr w:type="gramStart"/>
      <w:r>
        <w:t>all of</w:t>
      </w:r>
      <w:proofErr w:type="gramEnd"/>
      <w:r>
        <w:t xml:space="preserve"> your research, are the most important things for people to take away? The lessons that we can get from spending time with Ed.</w:t>
      </w:r>
    </w:p>
    <w:p w14:paraId="27F2359D" w14:textId="77777777" w:rsidR="004B487C" w:rsidRDefault="00000000">
      <w:pPr>
        <w:widowControl/>
        <w:spacing w:after="0" w:line="480" w:lineRule="auto"/>
        <w:ind w:firstLine="0"/>
        <w:rPr>
          <w:sz w:val="20"/>
          <w:szCs w:val="20"/>
        </w:rPr>
      </w:pPr>
      <w:r>
        <w:t xml:space="preserve"> </w:t>
      </w:r>
    </w:p>
    <w:p w14:paraId="11FF8807" w14:textId="77777777" w:rsidR="004B487C" w:rsidRDefault="00000000">
      <w:pPr>
        <w:widowControl/>
        <w:spacing w:after="0" w:line="480" w:lineRule="auto"/>
        <w:ind w:firstLine="0"/>
        <w:jc w:val="both"/>
        <w:rPr>
          <w:sz w:val="20"/>
          <w:szCs w:val="20"/>
        </w:rPr>
      </w:pPr>
      <w:r>
        <w:rPr>
          <w:b/>
          <w:bCs/>
        </w:rPr>
        <w:t xml:space="preserve">SD: </w:t>
      </w:r>
      <w:r>
        <w:t xml:space="preserve">I’ll tell you what I used to think it was, and then how it’s changing more recently. I used to think it was so important to understand why the many kinds of accessibility that exist today—both policies, like 504 and ADA, but also just everything from curb cuts to whatever is available that helps people participate—I wanted to make sure that people understood how those came about, that they didn’t just pop up out of nowhere. And it was a long, hard, fascinating road to achieving those, not that that is done. There’s obviously a lot more to go, a lot more to be done. But then, more recently, we see a federal government and administration that is unraveling the very achievements of that generation. It’s shocking. I always thought the big problem was, can we </w:t>
      </w:r>
      <w:proofErr w:type="gramStart"/>
      <w:r>
        <w:t>actually go</w:t>
      </w:r>
      <w:proofErr w:type="gramEnd"/>
      <w:r>
        <w:t xml:space="preserve"> further? Can we </w:t>
      </w:r>
      <w:proofErr w:type="gramStart"/>
      <w:r>
        <w:t>actually create</w:t>
      </w:r>
      <w:proofErr w:type="gramEnd"/>
      <w:r>
        <w:t xml:space="preserve"> better accessibility? Can we do this more fully and for more people and with greater respect and with much better </w:t>
      </w:r>
      <w:r>
        <w:lastRenderedPageBreak/>
        <w:t>funding? And now we’re seeing that the planks beneath us are being pulled out. It’s happening so much and in so many ways, that if you follow the news, it’s just very, very upsetting. It’s incredible. I don’t know what it’ll take to even repair the damage, never mind begin to make progress again.</w:t>
      </w:r>
    </w:p>
    <w:p w14:paraId="13122CAB" w14:textId="77777777" w:rsidR="004B487C" w:rsidRDefault="00000000">
      <w:pPr>
        <w:widowControl/>
        <w:spacing w:after="0" w:line="480" w:lineRule="auto"/>
        <w:ind w:firstLine="0"/>
        <w:rPr>
          <w:sz w:val="20"/>
          <w:szCs w:val="20"/>
        </w:rPr>
      </w:pPr>
      <w:r>
        <w:t xml:space="preserve"> </w:t>
      </w:r>
    </w:p>
    <w:p w14:paraId="3B485178" w14:textId="77777777" w:rsidR="004B487C" w:rsidRDefault="00000000">
      <w:pPr>
        <w:widowControl/>
        <w:spacing w:after="0" w:line="480" w:lineRule="auto"/>
        <w:ind w:firstLine="0"/>
        <w:jc w:val="both"/>
        <w:rPr>
          <w:sz w:val="20"/>
          <w:szCs w:val="20"/>
        </w:rPr>
      </w:pPr>
      <w:r>
        <w:rPr>
          <w:b/>
          <w:bCs/>
        </w:rPr>
        <w:t xml:space="preserve">RR: </w:t>
      </w:r>
      <w:r>
        <w:t>What an amazing time for your work to come out, both to bring attention to where these victories came from, and how important they are to keep fighting for, and to see how we can expand them.</w:t>
      </w:r>
    </w:p>
    <w:p w14:paraId="606A4F05" w14:textId="77777777" w:rsidR="004B487C" w:rsidRDefault="00000000">
      <w:pPr>
        <w:widowControl/>
        <w:spacing w:after="0" w:line="480" w:lineRule="auto"/>
        <w:ind w:firstLine="0"/>
        <w:rPr>
          <w:sz w:val="20"/>
          <w:szCs w:val="20"/>
        </w:rPr>
      </w:pPr>
      <w:r>
        <w:t xml:space="preserve"> </w:t>
      </w:r>
    </w:p>
    <w:p w14:paraId="69665844" w14:textId="77777777" w:rsidR="004B487C" w:rsidRDefault="00000000">
      <w:pPr>
        <w:widowControl/>
        <w:spacing w:after="0" w:line="480" w:lineRule="auto"/>
        <w:ind w:firstLine="0"/>
        <w:jc w:val="both"/>
        <w:rPr>
          <w:sz w:val="20"/>
          <w:szCs w:val="20"/>
        </w:rPr>
      </w:pPr>
      <w:r>
        <w:rPr>
          <w:b/>
          <w:bCs/>
        </w:rPr>
        <w:t xml:space="preserve">SD: </w:t>
      </w:r>
      <w:r>
        <w:t xml:space="preserve">Well, the book shows how thoughtful the people were. I mean, these were incredible radicals who fought in the streets, but they were brilliant, and they had long, long discussions about every single issue and every single policy. And the people right now who are unraveling and taking </w:t>
      </w:r>
      <w:proofErr w:type="gramStart"/>
      <w:r>
        <w:t>it</w:t>
      </w:r>
      <w:proofErr w:type="gramEnd"/>
      <w:r>
        <w:t xml:space="preserve"> all apart are the opposite. They’re not thoughtful. They’re like a drunk with a machine gun. They’re just letting loose on anything that’s </w:t>
      </w:r>
      <w:proofErr w:type="gramStart"/>
      <w:r>
        <w:t>decent, and</w:t>
      </w:r>
      <w:proofErr w:type="gramEnd"/>
      <w:r>
        <w:t xml:space="preserve"> hoping they can take it apart. </w:t>
      </w:r>
      <w:proofErr w:type="gramStart"/>
      <w:r>
        <w:t>So</w:t>
      </w:r>
      <w:proofErr w:type="gramEnd"/>
      <w:r>
        <w:t xml:space="preserve"> it’s very much the opposite. But I still am convinced that the way forward is through that kind of thoughtful dialogue and thoughtful solidarity, where people think seriously about what </w:t>
      </w:r>
      <w:proofErr w:type="gramStart"/>
      <w:r>
        <w:t>do we need</w:t>
      </w:r>
      <w:proofErr w:type="gramEnd"/>
      <w:r>
        <w:t xml:space="preserve"> to do, what are our problems, and how can we make lives for everyone better.</w:t>
      </w:r>
    </w:p>
    <w:p w14:paraId="165526A9" w14:textId="77777777" w:rsidR="004B487C" w:rsidRDefault="00000000">
      <w:pPr>
        <w:widowControl/>
        <w:spacing w:after="0" w:line="480" w:lineRule="auto"/>
        <w:ind w:firstLine="0"/>
        <w:rPr>
          <w:sz w:val="20"/>
          <w:szCs w:val="20"/>
        </w:rPr>
      </w:pPr>
      <w:r>
        <w:t xml:space="preserve"> </w:t>
      </w:r>
    </w:p>
    <w:p w14:paraId="5BB8E1D5" w14:textId="77777777" w:rsidR="004B487C" w:rsidRDefault="00000000">
      <w:pPr>
        <w:widowControl/>
        <w:spacing w:after="0" w:line="480" w:lineRule="auto"/>
        <w:ind w:firstLine="0"/>
        <w:jc w:val="both"/>
        <w:rPr>
          <w:sz w:val="20"/>
          <w:szCs w:val="20"/>
        </w:rPr>
      </w:pPr>
      <w:r>
        <w:rPr>
          <w:b/>
          <w:bCs/>
        </w:rPr>
        <w:t xml:space="preserve">RR: </w:t>
      </w:r>
      <w:r>
        <w:t>Yeah, and I was thinking about the way that you kind of brought attention to Ed’s trajectory of being acutely aware of your own need, finding ways to address that, banding with community, and then putting your forces out in the world. What a neat lesson he is for that.</w:t>
      </w:r>
    </w:p>
    <w:p w14:paraId="5EBC8A4F" w14:textId="77777777" w:rsidR="004B487C" w:rsidRDefault="00000000">
      <w:pPr>
        <w:widowControl/>
        <w:spacing w:after="0" w:line="480" w:lineRule="auto"/>
        <w:ind w:firstLine="0"/>
        <w:rPr>
          <w:sz w:val="20"/>
          <w:szCs w:val="20"/>
        </w:rPr>
      </w:pPr>
      <w:r>
        <w:t xml:space="preserve"> </w:t>
      </w:r>
    </w:p>
    <w:p w14:paraId="0212E20D" w14:textId="77777777" w:rsidR="004B487C" w:rsidRDefault="00000000">
      <w:pPr>
        <w:widowControl/>
        <w:spacing w:after="0" w:line="480" w:lineRule="auto"/>
        <w:ind w:firstLine="0"/>
        <w:jc w:val="both"/>
        <w:rPr>
          <w:sz w:val="20"/>
          <w:szCs w:val="20"/>
        </w:rPr>
      </w:pPr>
      <w:r>
        <w:rPr>
          <w:b/>
          <w:bCs/>
        </w:rPr>
        <w:t xml:space="preserve">SD: </w:t>
      </w:r>
      <w:r>
        <w:t xml:space="preserve">And I think that’s what happened to the original group of students on the Berkeley campus. They had a group of disabled students living, of all places, in a university hospital on campus—not where Ed wanted to be housed, not at the appropriate dormitory. But 1968, ’69, that’s where </w:t>
      </w:r>
      <w:r>
        <w:lastRenderedPageBreak/>
        <w:t>they were, and they had these conversations where they all radicalized each other, basically. They realized the predicaments I have been in are not personal, they are shared with the person I’m speaking to. And the other person across the table—we’re all in this situation. Maybe it’s the world around us.</w:t>
      </w:r>
    </w:p>
    <w:p w14:paraId="2976CF09" w14:textId="77777777" w:rsidR="004B487C" w:rsidRDefault="00000000">
      <w:pPr>
        <w:widowControl/>
        <w:spacing w:after="0" w:line="480" w:lineRule="auto"/>
        <w:ind w:firstLine="0"/>
        <w:rPr>
          <w:sz w:val="20"/>
          <w:szCs w:val="20"/>
        </w:rPr>
      </w:pPr>
      <w:r>
        <w:t xml:space="preserve"> </w:t>
      </w:r>
    </w:p>
    <w:p w14:paraId="4DF15C98" w14:textId="77777777" w:rsidR="004B487C" w:rsidRDefault="00000000">
      <w:pPr>
        <w:widowControl/>
        <w:spacing w:after="0" w:line="480" w:lineRule="auto"/>
        <w:ind w:firstLine="0"/>
        <w:jc w:val="both"/>
        <w:rPr>
          <w:sz w:val="20"/>
          <w:szCs w:val="20"/>
        </w:rPr>
      </w:pPr>
      <w:r>
        <w:rPr>
          <w:b/>
          <w:bCs/>
        </w:rPr>
        <w:t xml:space="preserve">RR: </w:t>
      </w:r>
      <w:r>
        <w:t>Yeah…</w:t>
      </w:r>
    </w:p>
    <w:p w14:paraId="3F7A1945" w14:textId="77777777" w:rsidR="004B487C" w:rsidRDefault="00000000">
      <w:pPr>
        <w:widowControl/>
        <w:spacing w:after="0" w:line="480" w:lineRule="auto"/>
        <w:ind w:firstLine="0"/>
        <w:rPr>
          <w:sz w:val="20"/>
          <w:szCs w:val="20"/>
        </w:rPr>
      </w:pPr>
      <w:r>
        <w:t xml:space="preserve"> </w:t>
      </w:r>
    </w:p>
    <w:p w14:paraId="4A28550A" w14:textId="77777777" w:rsidR="004B487C" w:rsidRDefault="00000000">
      <w:pPr>
        <w:widowControl/>
        <w:spacing w:after="0" w:line="480" w:lineRule="auto"/>
        <w:ind w:firstLine="0"/>
        <w:jc w:val="both"/>
        <w:rPr>
          <w:sz w:val="20"/>
          <w:szCs w:val="20"/>
        </w:rPr>
      </w:pPr>
      <w:r>
        <w:rPr>
          <w:b/>
          <w:bCs/>
        </w:rPr>
        <w:t xml:space="preserve">SD: </w:t>
      </w:r>
      <w:r>
        <w:t>And so, essentially, what we like to call the social model of disability—a politicized understanding—is what a bunch of college kids cooked up in their late-night conversations.</w:t>
      </w:r>
    </w:p>
    <w:p w14:paraId="08534CD5" w14:textId="77777777" w:rsidR="004B487C" w:rsidRDefault="00000000">
      <w:pPr>
        <w:widowControl/>
        <w:spacing w:after="0" w:line="480" w:lineRule="auto"/>
        <w:ind w:firstLine="0"/>
        <w:rPr>
          <w:sz w:val="20"/>
          <w:szCs w:val="20"/>
        </w:rPr>
      </w:pPr>
      <w:r>
        <w:t xml:space="preserve"> </w:t>
      </w:r>
    </w:p>
    <w:p w14:paraId="7EB745F1" w14:textId="77777777" w:rsidR="004B487C" w:rsidRDefault="00000000">
      <w:pPr>
        <w:widowControl/>
        <w:spacing w:after="0" w:line="480" w:lineRule="auto"/>
        <w:ind w:firstLine="0"/>
        <w:jc w:val="both"/>
        <w:rPr>
          <w:sz w:val="20"/>
          <w:szCs w:val="20"/>
        </w:rPr>
      </w:pPr>
      <w:r>
        <w:rPr>
          <w:b/>
          <w:bCs/>
        </w:rPr>
        <w:t xml:space="preserve">RR: </w:t>
      </w:r>
      <w:r>
        <w:t>And it sounds like they turned that dry hospital into an interesting… fun hangout to be.</w:t>
      </w:r>
    </w:p>
    <w:p w14:paraId="58032217" w14:textId="77777777" w:rsidR="004B487C" w:rsidRDefault="00000000">
      <w:pPr>
        <w:widowControl/>
        <w:spacing w:after="0" w:line="480" w:lineRule="auto"/>
        <w:ind w:firstLine="0"/>
        <w:rPr>
          <w:sz w:val="20"/>
          <w:szCs w:val="20"/>
        </w:rPr>
      </w:pPr>
      <w:r>
        <w:t xml:space="preserve"> </w:t>
      </w:r>
    </w:p>
    <w:p w14:paraId="0B3FA9A5" w14:textId="77777777" w:rsidR="004B487C" w:rsidRDefault="00000000">
      <w:pPr>
        <w:widowControl/>
        <w:spacing w:after="0" w:line="480" w:lineRule="auto"/>
        <w:ind w:firstLine="0"/>
        <w:jc w:val="both"/>
        <w:rPr>
          <w:sz w:val="20"/>
          <w:szCs w:val="20"/>
        </w:rPr>
      </w:pPr>
      <w:r>
        <w:rPr>
          <w:b/>
          <w:bCs/>
        </w:rPr>
        <w:t xml:space="preserve">SD: </w:t>
      </w:r>
      <w:r>
        <w:t>Well, it was late ’60s in Berkeley, so it was fueled by a lot of substances and a lot of good music.</w:t>
      </w:r>
    </w:p>
    <w:p w14:paraId="245BD7E4" w14:textId="77777777" w:rsidR="004B487C" w:rsidRDefault="00000000">
      <w:pPr>
        <w:widowControl/>
        <w:spacing w:after="0" w:line="480" w:lineRule="auto"/>
        <w:ind w:firstLine="0"/>
        <w:rPr>
          <w:sz w:val="20"/>
          <w:szCs w:val="20"/>
        </w:rPr>
      </w:pPr>
      <w:r>
        <w:t xml:space="preserve"> </w:t>
      </w:r>
    </w:p>
    <w:p w14:paraId="7275FB19" w14:textId="77777777" w:rsidR="004B487C" w:rsidRDefault="00000000">
      <w:pPr>
        <w:widowControl/>
        <w:spacing w:after="0" w:line="480" w:lineRule="auto"/>
        <w:ind w:firstLine="0"/>
        <w:jc w:val="both"/>
        <w:rPr>
          <w:sz w:val="20"/>
          <w:szCs w:val="20"/>
        </w:rPr>
      </w:pPr>
      <w:r>
        <w:rPr>
          <w:b/>
          <w:bCs/>
        </w:rPr>
        <w:t xml:space="preserve">RR: </w:t>
      </w:r>
      <w:r>
        <w:t>It sounds like it. And I know we just have a few minutes, I wanted to ask you, just quickly, your book is published with University of California?</w:t>
      </w:r>
    </w:p>
    <w:p w14:paraId="332EF3E8" w14:textId="77777777" w:rsidR="004B487C" w:rsidRDefault="00000000">
      <w:pPr>
        <w:widowControl/>
        <w:spacing w:after="0" w:line="480" w:lineRule="auto"/>
        <w:ind w:firstLine="0"/>
        <w:rPr>
          <w:sz w:val="20"/>
          <w:szCs w:val="20"/>
        </w:rPr>
      </w:pPr>
      <w:r>
        <w:t xml:space="preserve"> </w:t>
      </w:r>
    </w:p>
    <w:p w14:paraId="2B4FCE7E" w14:textId="77777777" w:rsidR="004B487C" w:rsidRDefault="00000000">
      <w:pPr>
        <w:widowControl/>
        <w:spacing w:after="0" w:line="480" w:lineRule="auto"/>
        <w:ind w:firstLine="0"/>
        <w:jc w:val="both"/>
        <w:rPr>
          <w:sz w:val="20"/>
          <w:szCs w:val="20"/>
        </w:rPr>
      </w:pPr>
      <w:r>
        <w:rPr>
          <w:b/>
          <w:bCs/>
        </w:rPr>
        <w:t xml:space="preserve">SD: </w:t>
      </w:r>
      <w:r>
        <w:t>Right.</w:t>
      </w:r>
    </w:p>
    <w:p w14:paraId="2FB18EFE" w14:textId="77777777" w:rsidR="004B487C" w:rsidRDefault="00000000">
      <w:pPr>
        <w:widowControl/>
        <w:spacing w:after="0" w:line="480" w:lineRule="auto"/>
        <w:ind w:firstLine="0"/>
        <w:rPr>
          <w:sz w:val="20"/>
          <w:szCs w:val="20"/>
        </w:rPr>
      </w:pPr>
      <w:r>
        <w:t xml:space="preserve"> </w:t>
      </w:r>
    </w:p>
    <w:p w14:paraId="49C76A3C" w14:textId="77777777" w:rsidR="004B487C" w:rsidRDefault="00000000">
      <w:pPr>
        <w:widowControl/>
        <w:spacing w:after="0" w:line="480" w:lineRule="auto"/>
        <w:ind w:firstLine="0"/>
        <w:jc w:val="both"/>
        <w:rPr>
          <w:sz w:val="20"/>
          <w:szCs w:val="20"/>
        </w:rPr>
      </w:pPr>
      <w:r>
        <w:rPr>
          <w:b/>
          <w:bCs/>
        </w:rPr>
        <w:t xml:space="preserve">RR: </w:t>
      </w:r>
      <w:r>
        <w:t>Why did you choose them?</w:t>
      </w:r>
    </w:p>
    <w:p w14:paraId="02434FF9" w14:textId="77777777" w:rsidR="004B487C" w:rsidRDefault="00000000">
      <w:pPr>
        <w:widowControl/>
        <w:spacing w:after="0" w:line="480" w:lineRule="auto"/>
        <w:ind w:firstLine="0"/>
        <w:rPr>
          <w:sz w:val="20"/>
          <w:szCs w:val="20"/>
        </w:rPr>
      </w:pPr>
      <w:r>
        <w:t xml:space="preserve"> </w:t>
      </w:r>
    </w:p>
    <w:p w14:paraId="6B5FC491" w14:textId="77777777" w:rsidR="004B487C" w:rsidRDefault="00000000">
      <w:pPr>
        <w:widowControl/>
        <w:spacing w:after="0" w:line="480" w:lineRule="auto"/>
        <w:ind w:firstLine="0"/>
        <w:jc w:val="both"/>
        <w:rPr>
          <w:sz w:val="20"/>
          <w:szCs w:val="20"/>
        </w:rPr>
      </w:pPr>
      <w:r>
        <w:rPr>
          <w:b/>
          <w:bCs/>
        </w:rPr>
        <w:t xml:space="preserve">SD: </w:t>
      </w:r>
      <w:proofErr w:type="gramStart"/>
      <w:r>
        <w:t>There’s</w:t>
      </w:r>
      <w:proofErr w:type="gramEnd"/>
      <w:r>
        <w:t xml:space="preserve"> a couple answers. I’ll give the highly respectful one. It’s just an appropriate publisher, because they’re devoted to telling California stories.</w:t>
      </w:r>
    </w:p>
    <w:p w14:paraId="5404E8F6" w14:textId="77777777" w:rsidR="004B487C" w:rsidRDefault="00000000">
      <w:pPr>
        <w:widowControl/>
        <w:spacing w:after="0" w:line="480" w:lineRule="auto"/>
        <w:ind w:firstLine="0"/>
        <w:rPr>
          <w:sz w:val="20"/>
          <w:szCs w:val="20"/>
        </w:rPr>
      </w:pPr>
      <w:r>
        <w:t xml:space="preserve"> </w:t>
      </w:r>
    </w:p>
    <w:p w14:paraId="5B6A008E" w14:textId="77777777" w:rsidR="004B487C" w:rsidRDefault="00000000">
      <w:pPr>
        <w:widowControl/>
        <w:spacing w:after="0" w:line="480" w:lineRule="auto"/>
        <w:ind w:firstLine="0"/>
        <w:jc w:val="both"/>
        <w:rPr>
          <w:sz w:val="20"/>
          <w:szCs w:val="20"/>
        </w:rPr>
      </w:pPr>
      <w:r>
        <w:rPr>
          <w:b/>
          <w:bCs/>
        </w:rPr>
        <w:lastRenderedPageBreak/>
        <w:t xml:space="preserve">RR: </w:t>
      </w:r>
      <w:r>
        <w:t>Yeah.</w:t>
      </w:r>
    </w:p>
    <w:p w14:paraId="0CA4239A" w14:textId="77777777" w:rsidR="004B487C" w:rsidRDefault="00000000">
      <w:pPr>
        <w:widowControl/>
        <w:spacing w:after="0" w:line="480" w:lineRule="auto"/>
        <w:ind w:firstLine="0"/>
        <w:rPr>
          <w:sz w:val="20"/>
          <w:szCs w:val="20"/>
        </w:rPr>
      </w:pPr>
      <w:r>
        <w:t xml:space="preserve"> </w:t>
      </w:r>
    </w:p>
    <w:p w14:paraId="0FF68086" w14:textId="77777777" w:rsidR="004B487C" w:rsidRDefault="00000000">
      <w:pPr>
        <w:widowControl/>
        <w:spacing w:after="0" w:line="480" w:lineRule="auto"/>
        <w:ind w:firstLine="0"/>
        <w:jc w:val="both"/>
        <w:rPr>
          <w:sz w:val="20"/>
          <w:szCs w:val="20"/>
        </w:rPr>
      </w:pPr>
      <w:r>
        <w:rPr>
          <w:b/>
          <w:bCs/>
        </w:rPr>
        <w:t xml:space="preserve">SD: </w:t>
      </w:r>
      <w:r>
        <w:t xml:space="preserve">And this is a story about—you know, I </w:t>
      </w:r>
      <w:proofErr w:type="gramStart"/>
      <w:r>
        <w:t>tell</w:t>
      </w:r>
      <w:proofErr w:type="gramEnd"/>
      <w:r>
        <w:t xml:space="preserve"> about Ed going to many, many places in the U.S. and beyond, this was a worldwide movement that he was involved in—but it’s also a Berkeley story; it’s a </w:t>
      </w:r>
      <w:r>
        <w:rPr>
          <w:i/>
          <w:iCs/>
        </w:rPr>
        <w:t>Berkeley Radicals Take on the World</w:t>
      </w:r>
      <w:r>
        <w:t xml:space="preserve"> story.</w:t>
      </w:r>
    </w:p>
    <w:p w14:paraId="7EAD4348" w14:textId="77777777" w:rsidR="004B487C" w:rsidRDefault="00000000">
      <w:pPr>
        <w:widowControl/>
        <w:spacing w:after="0" w:line="480" w:lineRule="auto"/>
        <w:ind w:firstLine="0"/>
        <w:rPr>
          <w:sz w:val="20"/>
          <w:szCs w:val="20"/>
        </w:rPr>
      </w:pPr>
      <w:r>
        <w:t xml:space="preserve"> </w:t>
      </w:r>
    </w:p>
    <w:p w14:paraId="57FB209C" w14:textId="77777777" w:rsidR="004B487C" w:rsidRDefault="00000000">
      <w:pPr>
        <w:widowControl/>
        <w:spacing w:after="0" w:line="480" w:lineRule="auto"/>
        <w:ind w:firstLine="0"/>
        <w:jc w:val="both"/>
        <w:rPr>
          <w:sz w:val="20"/>
          <w:szCs w:val="20"/>
        </w:rPr>
      </w:pPr>
      <w:r>
        <w:rPr>
          <w:b/>
          <w:bCs/>
        </w:rPr>
        <w:t xml:space="preserve">RR: </w:t>
      </w:r>
      <w:r>
        <w:t>Yeah.</w:t>
      </w:r>
    </w:p>
    <w:p w14:paraId="581ED976" w14:textId="77777777" w:rsidR="004B487C" w:rsidRDefault="00000000">
      <w:pPr>
        <w:widowControl/>
        <w:spacing w:after="0" w:line="480" w:lineRule="auto"/>
        <w:ind w:firstLine="0"/>
        <w:rPr>
          <w:sz w:val="20"/>
          <w:szCs w:val="20"/>
        </w:rPr>
      </w:pPr>
      <w:r>
        <w:t xml:space="preserve"> </w:t>
      </w:r>
    </w:p>
    <w:p w14:paraId="32896713" w14:textId="77777777" w:rsidR="004B487C" w:rsidRDefault="00000000">
      <w:pPr>
        <w:widowControl/>
        <w:spacing w:after="0" w:line="480" w:lineRule="auto"/>
        <w:ind w:firstLine="0"/>
        <w:jc w:val="both"/>
        <w:rPr>
          <w:sz w:val="20"/>
          <w:szCs w:val="20"/>
        </w:rPr>
      </w:pPr>
      <w:r>
        <w:rPr>
          <w:b/>
          <w:bCs/>
        </w:rPr>
        <w:t xml:space="preserve">SD: </w:t>
      </w:r>
      <w:r>
        <w:t xml:space="preserve">You know, the shaggy-haired hippies smoking the weed with those weird ideas, they’re going to take it to the world. </w:t>
      </w:r>
      <w:proofErr w:type="gramStart"/>
      <w:r>
        <w:t>So</w:t>
      </w:r>
      <w:proofErr w:type="gramEnd"/>
      <w:r>
        <w:t xml:space="preserve"> it is a California story. But, you know, the other version, I will tell you, is the number of places that turned this book down. I’m not going to give you a number, but it’s a crazy high number.</w:t>
      </w:r>
    </w:p>
    <w:p w14:paraId="5C440A42" w14:textId="77777777" w:rsidR="004B487C" w:rsidRDefault="00000000">
      <w:pPr>
        <w:widowControl/>
        <w:spacing w:after="0" w:line="480" w:lineRule="auto"/>
        <w:ind w:firstLine="0"/>
        <w:rPr>
          <w:sz w:val="20"/>
          <w:szCs w:val="20"/>
        </w:rPr>
      </w:pPr>
      <w:r>
        <w:t xml:space="preserve"> </w:t>
      </w:r>
    </w:p>
    <w:p w14:paraId="394A7552" w14:textId="77777777" w:rsidR="004B487C" w:rsidRDefault="00000000">
      <w:pPr>
        <w:widowControl/>
        <w:spacing w:after="0" w:line="480" w:lineRule="auto"/>
        <w:ind w:firstLine="0"/>
        <w:jc w:val="both"/>
        <w:rPr>
          <w:sz w:val="20"/>
          <w:szCs w:val="20"/>
        </w:rPr>
      </w:pPr>
      <w:r>
        <w:rPr>
          <w:b/>
          <w:bCs/>
        </w:rPr>
        <w:t xml:space="preserve">RR: </w:t>
      </w:r>
      <w:r>
        <w:t>It sounds like J.K. Rowling. Like every successful book I’m aware of, there’s always tons of proposals on the way.</w:t>
      </w:r>
    </w:p>
    <w:p w14:paraId="7883A17A" w14:textId="77777777" w:rsidR="004B487C" w:rsidRDefault="00000000">
      <w:pPr>
        <w:widowControl/>
        <w:spacing w:after="0" w:line="480" w:lineRule="auto"/>
        <w:ind w:firstLine="0"/>
        <w:rPr>
          <w:sz w:val="20"/>
          <w:szCs w:val="20"/>
        </w:rPr>
      </w:pPr>
      <w:r>
        <w:t xml:space="preserve"> </w:t>
      </w:r>
    </w:p>
    <w:p w14:paraId="6CD6CB97" w14:textId="77777777" w:rsidR="004B487C" w:rsidRDefault="00000000">
      <w:pPr>
        <w:widowControl/>
        <w:spacing w:after="0" w:line="480" w:lineRule="auto"/>
        <w:ind w:firstLine="0"/>
        <w:jc w:val="both"/>
        <w:rPr>
          <w:sz w:val="20"/>
          <w:szCs w:val="20"/>
        </w:rPr>
      </w:pPr>
      <w:r>
        <w:rPr>
          <w:b/>
          <w:bCs/>
        </w:rPr>
        <w:t xml:space="preserve">SD: </w:t>
      </w:r>
      <w:r>
        <w:t>Well… so I was thrilled. I was thrilled to find this publisher, and they’ve treated me well.</w:t>
      </w:r>
    </w:p>
    <w:p w14:paraId="074D4CE1" w14:textId="77777777" w:rsidR="004B487C" w:rsidRDefault="00000000">
      <w:pPr>
        <w:widowControl/>
        <w:spacing w:after="0" w:line="480" w:lineRule="auto"/>
        <w:ind w:firstLine="0"/>
        <w:rPr>
          <w:sz w:val="20"/>
          <w:szCs w:val="20"/>
        </w:rPr>
      </w:pPr>
      <w:r>
        <w:t xml:space="preserve"> </w:t>
      </w:r>
    </w:p>
    <w:p w14:paraId="3B8B124E" w14:textId="77777777" w:rsidR="004B487C" w:rsidRDefault="00000000">
      <w:pPr>
        <w:widowControl/>
        <w:spacing w:after="0" w:line="480" w:lineRule="auto"/>
        <w:ind w:firstLine="0"/>
        <w:jc w:val="both"/>
        <w:rPr>
          <w:sz w:val="20"/>
          <w:szCs w:val="20"/>
        </w:rPr>
      </w:pPr>
      <w:r>
        <w:rPr>
          <w:b/>
          <w:bCs/>
        </w:rPr>
        <w:t xml:space="preserve">RR: </w:t>
      </w:r>
      <w:r>
        <w:t>It sounds like it. If you want to mention anything upcoming that you’re working on?</w:t>
      </w:r>
    </w:p>
    <w:p w14:paraId="614A0783" w14:textId="77777777" w:rsidR="004B487C" w:rsidRDefault="00000000">
      <w:pPr>
        <w:widowControl/>
        <w:spacing w:after="0" w:line="480" w:lineRule="auto"/>
        <w:ind w:firstLine="0"/>
        <w:rPr>
          <w:sz w:val="20"/>
          <w:szCs w:val="20"/>
        </w:rPr>
      </w:pPr>
      <w:r>
        <w:t xml:space="preserve"> </w:t>
      </w:r>
    </w:p>
    <w:p w14:paraId="700F09DF" w14:textId="77777777" w:rsidR="004B487C" w:rsidRDefault="00000000">
      <w:pPr>
        <w:widowControl/>
        <w:spacing w:after="0" w:line="480" w:lineRule="auto"/>
        <w:ind w:firstLine="0"/>
        <w:jc w:val="both"/>
        <w:rPr>
          <w:sz w:val="20"/>
          <w:szCs w:val="20"/>
        </w:rPr>
      </w:pPr>
      <w:r>
        <w:rPr>
          <w:b/>
          <w:bCs/>
        </w:rPr>
        <w:t xml:space="preserve">SD: </w:t>
      </w:r>
      <w:r>
        <w:t>Well</w:t>
      </w:r>
      <w:proofErr w:type="gramStart"/>
      <w:r>
        <w:t>, actually, from</w:t>
      </w:r>
      <w:proofErr w:type="gramEnd"/>
      <w:r>
        <w:t xml:space="preserve"> the beginning, people have said, where is the audiobook? Suprise, surprise, surprise—a highly accessible version, like an audiobook, is an afterthought. It doesn’t just happen. It can possibly happen later. And my publisher and other publishers who specialize in this did not pick it up for audio, </w:t>
      </w:r>
      <w:proofErr w:type="gramStart"/>
      <w:r>
        <w:t>despite the fact that</w:t>
      </w:r>
      <w:proofErr w:type="gramEnd"/>
      <w:r>
        <w:t xml:space="preserve"> many, many folks in the disability community have been asking from the beginning for an audiobook. And </w:t>
      </w:r>
      <w:proofErr w:type="gramStart"/>
      <w:r>
        <w:t>so</w:t>
      </w:r>
      <w:proofErr w:type="gramEnd"/>
      <w:r>
        <w:t xml:space="preserve"> I arranged to get </w:t>
      </w:r>
      <w:r>
        <w:lastRenderedPageBreak/>
        <w:t>the rights to the audio version back, and I’m working with a narrator right now—a disabled man living in Berkeley, a radio announcer with a golden voice—and he’s recording it right now, so hopefully very soon we’ll have an audio version available.</w:t>
      </w:r>
    </w:p>
    <w:p w14:paraId="0BFAB5B0" w14:textId="77777777" w:rsidR="004B487C" w:rsidRDefault="00000000">
      <w:pPr>
        <w:widowControl/>
        <w:spacing w:after="0" w:line="480" w:lineRule="auto"/>
        <w:ind w:firstLine="0"/>
        <w:rPr>
          <w:sz w:val="20"/>
          <w:szCs w:val="20"/>
        </w:rPr>
      </w:pPr>
      <w:r>
        <w:t xml:space="preserve"> </w:t>
      </w:r>
    </w:p>
    <w:p w14:paraId="2C18D637" w14:textId="77777777" w:rsidR="004B487C" w:rsidRDefault="00000000">
      <w:pPr>
        <w:widowControl/>
        <w:spacing w:after="0" w:line="480" w:lineRule="auto"/>
        <w:ind w:firstLine="0"/>
        <w:jc w:val="both"/>
        <w:rPr>
          <w:sz w:val="20"/>
          <w:szCs w:val="20"/>
        </w:rPr>
      </w:pPr>
      <w:r>
        <w:rPr>
          <w:b/>
          <w:bCs/>
        </w:rPr>
        <w:t xml:space="preserve">RR: </w:t>
      </w:r>
      <w:r>
        <w:t>Well, that’s very exciting.</w:t>
      </w:r>
    </w:p>
    <w:p w14:paraId="4FDEB513" w14:textId="77777777" w:rsidR="004B487C" w:rsidRDefault="00000000">
      <w:pPr>
        <w:widowControl/>
        <w:spacing w:after="0" w:line="480" w:lineRule="auto"/>
        <w:ind w:firstLine="0"/>
        <w:rPr>
          <w:sz w:val="20"/>
          <w:szCs w:val="20"/>
        </w:rPr>
      </w:pPr>
      <w:r>
        <w:t xml:space="preserve"> </w:t>
      </w:r>
    </w:p>
    <w:p w14:paraId="2DD5837A" w14:textId="77777777" w:rsidR="004B487C" w:rsidRDefault="00000000">
      <w:pPr>
        <w:widowControl/>
        <w:spacing w:after="0" w:line="480" w:lineRule="auto"/>
        <w:ind w:firstLine="0"/>
        <w:jc w:val="both"/>
        <w:rPr>
          <w:sz w:val="20"/>
          <w:szCs w:val="20"/>
        </w:rPr>
      </w:pPr>
      <w:r>
        <w:rPr>
          <w:b/>
          <w:bCs/>
        </w:rPr>
        <w:t xml:space="preserve">SD: </w:t>
      </w:r>
      <w:r>
        <w:t>I’m thrilled.</w:t>
      </w:r>
    </w:p>
    <w:p w14:paraId="7321B689" w14:textId="77777777" w:rsidR="004B487C" w:rsidRDefault="00000000">
      <w:pPr>
        <w:widowControl/>
        <w:spacing w:after="0" w:line="480" w:lineRule="auto"/>
        <w:ind w:firstLine="0"/>
        <w:rPr>
          <w:sz w:val="20"/>
          <w:szCs w:val="20"/>
        </w:rPr>
      </w:pPr>
      <w:r>
        <w:t xml:space="preserve"> </w:t>
      </w:r>
    </w:p>
    <w:p w14:paraId="6F649017" w14:textId="77777777" w:rsidR="004B487C" w:rsidRDefault="00000000">
      <w:pPr>
        <w:widowControl/>
        <w:spacing w:after="0" w:line="480" w:lineRule="auto"/>
        <w:ind w:firstLine="0"/>
        <w:jc w:val="both"/>
        <w:rPr>
          <w:sz w:val="20"/>
          <w:szCs w:val="20"/>
        </w:rPr>
      </w:pPr>
      <w:r>
        <w:rPr>
          <w:b/>
          <w:bCs/>
        </w:rPr>
        <w:t xml:space="preserve">RR: </w:t>
      </w:r>
      <w:r>
        <w:t>Be sure to let me know so we can make sure that we publicize it. And anything else you want to say?</w:t>
      </w:r>
    </w:p>
    <w:p w14:paraId="7FF8B8F7" w14:textId="77777777" w:rsidR="004B487C" w:rsidRDefault="00000000">
      <w:pPr>
        <w:widowControl/>
        <w:spacing w:after="0" w:line="480" w:lineRule="auto"/>
        <w:ind w:firstLine="0"/>
        <w:rPr>
          <w:sz w:val="20"/>
          <w:szCs w:val="20"/>
        </w:rPr>
      </w:pPr>
      <w:r>
        <w:t xml:space="preserve"> </w:t>
      </w:r>
    </w:p>
    <w:p w14:paraId="03DCCA41" w14:textId="77777777" w:rsidR="004B487C" w:rsidRDefault="00000000">
      <w:pPr>
        <w:widowControl/>
        <w:spacing w:after="0" w:line="480" w:lineRule="auto"/>
        <w:ind w:firstLine="0"/>
        <w:jc w:val="both"/>
        <w:rPr>
          <w:sz w:val="20"/>
          <w:szCs w:val="20"/>
        </w:rPr>
      </w:pPr>
      <w:r>
        <w:rPr>
          <w:b/>
          <w:bCs/>
        </w:rPr>
        <w:t xml:space="preserve">SD: </w:t>
      </w:r>
      <w:r>
        <w:t>I will, yeah. No, that’s it. I’m just excited to talk to you, I’m excited for people to know about it. I hope people read the book. Enjoy it. Enjoy Ed.</w:t>
      </w:r>
    </w:p>
    <w:p w14:paraId="4847D017" w14:textId="77777777" w:rsidR="004B487C" w:rsidRDefault="00000000">
      <w:pPr>
        <w:widowControl/>
        <w:spacing w:after="0" w:line="480" w:lineRule="auto"/>
        <w:ind w:firstLine="0"/>
        <w:rPr>
          <w:sz w:val="20"/>
          <w:szCs w:val="20"/>
        </w:rPr>
      </w:pPr>
      <w:r>
        <w:t xml:space="preserve"> </w:t>
      </w:r>
    </w:p>
    <w:p w14:paraId="0606F034" w14:textId="77777777" w:rsidR="004B487C" w:rsidRDefault="00000000">
      <w:pPr>
        <w:widowControl/>
        <w:spacing w:after="0" w:line="480" w:lineRule="auto"/>
        <w:ind w:firstLine="0"/>
        <w:jc w:val="both"/>
        <w:rPr>
          <w:sz w:val="20"/>
          <w:szCs w:val="20"/>
        </w:rPr>
      </w:pPr>
      <w:r>
        <w:rPr>
          <w:b/>
          <w:bCs/>
        </w:rPr>
        <w:t xml:space="preserve">RR: </w:t>
      </w:r>
      <w:r>
        <w:t xml:space="preserve">Yeah, me too. He’s a </w:t>
      </w:r>
      <w:proofErr w:type="gramStart"/>
      <w:r>
        <w:t>really good</w:t>
      </w:r>
      <w:proofErr w:type="gramEnd"/>
      <w:r>
        <w:t xml:space="preserve"> friend of mine now and I’m grateful for you to—not introduce me to, but to make me closer to him—and I can’t wait for others to get to spend time with him, too. And I’m grateful for this time with you, thank you.</w:t>
      </w:r>
    </w:p>
    <w:p w14:paraId="5339B94E" w14:textId="77777777" w:rsidR="004B487C" w:rsidRDefault="00000000">
      <w:pPr>
        <w:widowControl/>
        <w:spacing w:after="0" w:line="480" w:lineRule="auto"/>
        <w:ind w:firstLine="0"/>
        <w:rPr>
          <w:sz w:val="20"/>
          <w:szCs w:val="20"/>
        </w:rPr>
      </w:pPr>
      <w:r>
        <w:t xml:space="preserve"> </w:t>
      </w:r>
    </w:p>
    <w:p w14:paraId="6886CAF0" w14:textId="77777777" w:rsidR="004B487C" w:rsidRDefault="00000000">
      <w:pPr>
        <w:widowControl/>
        <w:spacing w:after="0" w:line="480" w:lineRule="auto"/>
        <w:ind w:firstLine="0"/>
        <w:jc w:val="both"/>
        <w:rPr>
          <w:sz w:val="20"/>
          <w:szCs w:val="20"/>
        </w:rPr>
      </w:pPr>
      <w:r>
        <w:rPr>
          <w:b/>
          <w:bCs/>
        </w:rPr>
        <w:t xml:space="preserve">SD: </w:t>
      </w:r>
      <w:r>
        <w:t>Thank you, thanks.</w:t>
      </w:r>
    </w:p>
    <w:p w14:paraId="16243EB8" w14:textId="77777777" w:rsidR="004B487C" w:rsidRDefault="00000000">
      <w:pPr>
        <w:widowControl/>
        <w:spacing w:after="0" w:line="480" w:lineRule="auto"/>
        <w:ind w:firstLine="0"/>
        <w:rPr>
          <w:sz w:val="20"/>
          <w:szCs w:val="20"/>
        </w:rPr>
      </w:pPr>
      <w:r>
        <w:t xml:space="preserve"> </w:t>
      </w:r>
    </w:p>
    <w:p w14:paraId="0786D10B" w14:textId="77777777" w:rsidR="004B487C" w:rsidRDefault="00000000">
      <w:pPr>
        <w:widowControl/>
        <w:spacing w:after="0" w:line="480" w:lineRule="auto"/>
        <w:ind w:firstLine="0"/>
        <w:jc w:val="both"/>
        <w:rPr>
          <w:sz w:val="20"/>
          <w:szCs w:val="20"/>
        </w:rPr>
      </w:pPr>
      <w:r>
        <w:rPr>
          <w:b/>
          <w:bCs/>
        </w:rPr>
        <w:t xml:space="preserve">RR: </w:t>
      </w:r>
      <w:r>
        <w:t>And I can’t wait to share this with other folk.</w:t>
      </w:r>
    </w:p>
    <w:p w14:paraId="5A0E4F50" w14:textId="77777777" w:rsidR="004B487C" w:rsidRDefault="00000000">
      <w:pPr>
        <w:widowControl/>
        <w:spacing w:after="0" w:line="480" w:lineRule="auto"/>
        <w:ind w:firstLine="0"/>
        <w:rPr>
          <w:sz w:val="20"/>
          <w:szCs w:val="20"/>
        </w:rPr>
      </w:pPr>
      <w:r>
        <w:t xml:space="preserve"> </w:t>
      </w:r>
    </w:p>
    <w:p w14:paraId="7205925E" w14:textId="77777777" w:rsidR="004B487C" w:rsidRDefault="00000000">
      <w:pPr>
        <w:widowControl/>
        <w:spacing w:after="0" w:line="480" w:lineRule="auto"/>
        <w:ind w:firstLine="0"/>
        <w:jc w:val="both"/>
        <w:rPr>
          <w:sz w:val="20"/>
          <w:szCs w:val="20"/>
        </w:rPr>
      </w:pPr>
      <w:r>
        <w:rPr>
          <w:b/>
          <w:bCs/>
        </w:rPr>
        <w:t xml:space="preserve">SD: </w:t>
      </w:r>
      <w:r>
        <w:t>Yeah, me too. This is great, thank you.</w:t>
      </w:r>
    </w:p>
    <w:p w14:paraId="5ACD05FA" w14:textId="77777777" w:rsidR="004B487C" w:rsidRDefault="00000000">
      <w:pPr>
        <w:widowControl/>
        <w:spacing w:after="0" w:line="480" w:lineRule="auto"/>
        <w:ind w:firstLine="0"/>
        <w:rPr>
          <w:sz w:val="20"/>
          <w:szCs w:val="20"/>
        </w:rPr>
      </w:pPr>
      <w:r>
        <w:t xml:space="preserve"> </w:t>
      </w:r>
    </w:p>
    <w:p w14:paraId="066B1BF8" w14:textId="77777777" w:rsidR="004B487C" w:rsidRDefault="00000000">
      <w:pPr>
        <w:widowControl/>
        <w:spacing w:after="0" w:line="480" w:lineRule="auto"/>
        <w:ind w:firstLine="0"/>
        <w:rPr>
          <w:sz w:val="20"/>
          <w:szCs w:val="20"/>
        </w:rPr>
      </w:pPr>
      <w:r>
        <w:t xml:space="preserve"> </w:t>
      </w:r>
    </w:p>
    <w:p w14:paraId="561CABE5" w14:textId="77777777" w:rsidR="004B487C" w:rsidRDefault="004B487C">
      <w:pPr>
        <w:widowControl/>
        <w:spacing w:after="0" w:line="480" w:lineRule="auto"/>
        <w:ind w:firstLine="0"/>
        <w:jc w:val="center"/>
        <w:rPr>
          <w:b/>
          <w:bCs/>
        </w:rPr>
      </w:pPr>
    </w:p>
    <w:p w14:paraId="24FB4FE0" w14:textId="77777777" w:rsidR="004B487C" w:rsidRDefault="004B487C">
      <w:pPr>
        <w:widowControl/>
        <w:spacing w:after="0" w:line="480" w:lineRule="auto"/>
        <w:ind w:firstLine="0"/>
        <w:jc w:val="center"/>
        <w:rPr>
          <w:b/>
          <w:bCs/>
        </w:rPr>
      </w:pPr>
    </w:p>
    <w:p w14:paraId="0CF5C11E" w14:textId="77777777" w:rsidR="004B487C" w:rsidRDefault="004B487C" w:rsidP="00F464E5">
      <w:pPr>
        <w:widowControl/>
        <w:spacing w:after="0" w:line="480" w:lineRule="auto"/>
        <w:ind w:firstLine="0"/>
        <w:rPr>
          <w:b/>
          <w:bCs/>
        </w:rPr>
      </w:pPr>
    </w:p>
    <w:p w14:paraId="4AFE4F13" w14:textId="77777777" w:rsidR="004B487C" w:rsidRDefault="00000000">
      <w:pPr>
        <w:widowControl/>
        <w:spacing w:after="0" w:line="480" w:lineRule="auto"/>
        <w:ind w:firstLine="0"/>
        <w:jc w:val="center"/>
        <w:rPr>
          <w:sz w:val="20"/>
          <w:szCs w:val="20"/>
        </w:rPr>
      </w:pPr>
      <w:r>
        <w:rPr>
          <w:b/>
          <w:bCs/>
        </w:rPr>
        <w:t>References</w:t>
      </w:r>
    </w:p>
    <w:p w14:paraId="192C6811" w14:textId="77777777" w:rsidR="004B487C" w:rsidRDefault="00000000">
      <w:pPr>
        <w:widowControl/>
        <w:spacing w:after="0" w:line="480" w:lineRule="auto"/>
        <w:ind w:firstLine="0"/>
        <w:rPr>
          <w:sz w:val="20"/>
          <w:szCs w:val="20"/>
        </w:rPr>
      </w:pPr>
      <w:r>
        <w:t xml:space="preserve"> </w:t>
      </w:r>
    </w:p>
    <w:p w14:paraId="57A117AF" w14:textId="77777777" w:rsidR="004B487C" w:rsidRDefault="00000000">
      <w:pPr>
        <w:widowControl/>
        <w:spacing w:after="0" w:line="480" w:lineRule="auto"/>
        <w:ind w:left="720" w:hanging="720"/>
        <w:jc w:val="both"/>
        <w:rPr>
          <w:sz w:val="20"/>
          <w:szCs w:val="20"/>
        </w:rPr>
      </w:pPr>
      <w:r>
        <w:t xml:space="preserve">Danforth, S. (2025). </w:t>
      </w:r>
      <w:r>
        <w:rPr>
          <w:i/>
          <w:iCs/>
        </w:rPr>
        <w:t>An independent man: Ed Roberts and the fight for disability rights</w:t>
      </w:r>
      <w:r>
        <w:t>. University of California Press.</w:t>
      </w:r>
    </w:p>
    <w:p w14:paraId="5A1687AA" w14:textId="77777777" w:rsidR="004B487C" w:rsidRDefault="00000000">
      <w:pPr>
        <w:widowControl/>
        <w:spacing w:after="0" w:line="480" w:lineRule="auto"/>
        <w:ind w:firstLine="0"/>
        <w:rPr>
          <w:sz w:val="20"/>
          <w:szCs w:val="20"/>
        </w:rPr>
      </w:pPr>
      <w:r>
        <w:t xml:space="preserve"> </w:t>
      </w:r>
    </w:p>
    <w:p w14:paraId="2D5F5E99" w14:textId="77777777" w:rsidR="004B487C" w:rsidRDefault="004B487C"/>
    <w:p w14:paraId="3EBCE541" w14:textId="77777777" w:rsidR="004B487C" w:rsidRDefault="004B487C"/>
    <w:p w14:paraId="6FB3C800" w14:textId="77777777" w:rsidR="004B487C" w:rsidRDefault="004B487C"/>
    <w:p w14:paraId="5F0C9C96" w14:textId="77777777" w:rsidR="004B487C" w:rsidRDefault="004B487C"/>
    <w:p w14:paraId="01E0189D" w14:textId="77777777" w:rsidR="004B487C" w:rsidRDefault="004B487C"/>
    <w:p w14:paraId="0D1CE4A7" w14:textId="77777777" w:rsidR="004B487C" w:rsidRDefault="004B487C"/>
    <w:p w14:paraId="287C9531" w14:textId="77777777" w:rsidR="004B487C" w:rsidRDefault="004B487C"/>
    <w:p w14:paraId="4E743DF3" w14:textId="77777777" w:rsidR="004B487C" w:rsidRDefault="004B487C"/>
    <w:p w14:paraId="5C7976F8" w14:textId="77777777" w:rsidR="004B487C" w:rsidRDefault="004B487C"/>
    <w:p w14:paraId="3AD5E89A" w14:textId="77777777" w:rsidR="004B487C" w:rsidRDefault="004B487C"/>
    <w:p w14:paraId="3B4933FD" w14:textId="77777777" w:rsidR="004B487C" w:rsidRDefault="004B487C"/>
    <w:p w14:paraId="025C34CD" w14:textId="77777777" w:rsidR="004B487C" w:rsidRDefault="004B487C"/>
    <w:p w14:paraId="26623F51" w14:textId="77777777" w:rsidR="004B487C" w:rsidRDefault="004B487C"/>
    <w:p w14:paraId="4398919A" w14:textId="77777777" w:rsidR="004B487C" w:rsidRDefault="004B487C"/>
    <w:p w14:paraId="4F1695FD" w14:textId="77777777" w:rsidR="004B487C" w:rsidRDefault="00000000">
      <w:pPr>
        <w:spacing w:after="0" w:line="240" w:lineRule="auto"/>
        <w:ind w:firstLine="0"/>
        <w:rPr>
          <w:sz w:val="20"/>
          <w:szCs w:val="20"/>
        </w:rPr>
      </w:pPr>
      <w:r>
        <w:rPr>
          <w:noProof/>
          <w:color w:val="000000"/>
        </w:rPr>
        <w:drawing>
          <wp:inline distT="0" distB="0" distL="0" distR="0" wp14:anchorId="763700AF" wp14:editId="37223C8D">
            <wp:extent cx="1016000" cy="186055"/>
            <wp:effectExtent l="0" t="0" r="0" b="0"/>
            <wp:docPr id="12" name="image1.png" descr="Creative Commons CC:BY logo"/>
            <wp:cNvGraphicFramePr/>
            <a:graphic xmlns:a="http://schemas.openxmlformats.org/drawingml/2006/main">
              <a:graphicData uri="http://schemas.openxmlformats.org/drawingml/2006/picture">
                <pic:pic xmlns:pic="http://schemas.openxmlformats.org/drawingml/2006/picture">
                  <pic:nvPicPr>
                    <pic:cNvPr id="12" name="image1.png" descr="Creative Commons CC:BY logo"/>
                    <pic:cNvPicPr preferRelativeResize="0"/>
                  </pic:nvPicPr>
                  <pic:blipFill>
                    <a:blip r:embed="rId7"/>
                    <a:srcRect/>
                    <a:stretch>
                      <a:fillRect/>
                    </a:stretch>
                  </pic:blipFill>
                  <pic:spPr>
                    <a:xfrm>
                      <a:off x="0" y="0"/>
                      <a:ext cx="1016000" cy="186055"/>
                    </a:xfrm>
                    <a:prstGeom prst="rect">
                      <a:avLst/>
                    </a:prstGeom>
                    <a:ln/>
                  </pic:spPr>
                </pic:pic>
              </a:graphicData>
            </a:graphic>
          </wp:inline>
        </w:drawing>
      </w:r>
      <w:r>
        <w:rPr>
          <w:color w:val="000000"/>
        </w:rPr>
        <w:t xml:space="preserve"> </w:t>
      </w:r>
      <w:r>
        <w:rPr>
          <w:b/>
          <w:bCs/>
        </w:rPr>
        <w:t>An Interview with Scot Danforth, Author of</w:t>
      </w:r>
    </w:p>
    <w:p w14:paraId="3084EAF8" w14:textId="77777777" w:rsidR="004B487C" w:rsidRDefault="00000000">
      <w:pPr>
        <w:spacing w:after="0" w:line="240" w:lineRule="auto"/>
        <w:ind w:firstLine="0"/>
        <w:rPr>
          <w:b/>
          <w:bCs/>
        </w:rPr>
      </w:pPr>
      <w:r>
        <w:rPr>
          <w:b/>
          <w:bCs/>
        </w:rPr>
        <w:t xml:space="preserve">An Independent Man: Ed Roberts and the Fight for Disability Rights </w:t>
      </w:r>
      <w:r>
        <w:rPr>
          <w:color w:val="000000"/>
        </w:rPr>
        <w:t xml:space="preserve">by </w:t>
      </w:r>
      <w:r>
        <w:t xml:space="preserve">Raphael </w:t>
      </w:r>
      <w:proofErr w:type="spellStart"/>
      <w:r>
        <w:t>Raphael</w:t>
      </w:r>
      <w:proofErr w:type="spellEnd"/>
      <w:r>
        <w:t xml:space="preserve">. </w:t>
      </w:r>
      <w:hyperlink r:id="rId84">
        <w:r>
          <w:rPr>
            <w:color w:val="1155CC"/>
            <w:u w:val="single"/>
          </w:rPr>
          <w:t>https://rdsjournal.org/index.php/journal/article/view/1466</w:t>
        </w:r>
      </w:hyperlink>
      <w:r>
        <w:t xml:space="preserve"> </w:t>
      </w:r>
      <w:r>
        <w:rPr>
          <w:color w:val="000000"/>
        </w:rPr>
        <w:t>is licensed under a</w:t>
      </w:r>
      <w:hyperlink r:id="rId85">
        <w:r>
          <w:rPr>
            <w:color w:val="000000"/>
            <w:u w:val="single"/>
          </w:rPr>
          <w:t xml:space="preserve"> </w:t>
        </w:r>
      </w:hyperlink>
      <w:hyperlink r:id="rId86">
        <w:r>
          <w:rPr>
            <w:color w:val="1155CC"/>
            <w:u w:val="single"/>
          </w:rPr>
          <w:t>Creative Commons Attribution 4.0 International License</w:t>
        </w:r>
      </w:hyperlink>
      <w:r>
        <w:rPr>
          <w:color w:val="000000"/>
        </w:rPr>
        <w:t xml:space="preserve"> based on a work at </w:t>
      </w:r>
      <w:hyperlink r:id="rId87">
        <w:r>
          <w:rPr>
            <w:color w:val="0000FF"/>
            <w:u w:val="single"/>
          </w:rPr>
          <w:t>https://rdsjournal.org</w:t>
        </w:r>
      </w:hyperlink>
      <w:r>
        <w:rPr>
          <w:color w:val="000000"/>
        </w:rPr>
        <w:t>.</w:t>
      </w:r>
    </w:p>
    <w:p w14:paraId="4AF76C29" w14:textId="77777777" w:rsidR="004B487C" w:rsidRDefault="004B487C">
      <w:pPr>
        <w:spacing w:line="480" w:lineRule="auto"/>
      </w:pPr>
    </w:p>
    <w:p w14:paraId="10FD4873" w14:textId="77777777" w:rsidR="004B487C" w:rsidRDefault="004B487C">
      <w:pPr>
        <w:spacing w:line="479" w:lineRule="auto"/>
        <w:jc w:val="center"/>
        <w:rPr>
          <w:rFonts w:ascii="Arial" w:eastAsia="Arial" w:hAnsi="Arial" w:cs="Arial"/>
          <w:b/>
          <w:bCs/>
        </w:rPr>
      </w:pPr>
    </w:p>
    <w:p w14:paraId="5FD1184D" w14:textId="77777777" w:rsidR="004B487C" w:rsidRDefault="004B487C">
      <w:pPr>
        <w:spacing w:line="479" w:lineRule="auto"/>
        <w:jc w:val="center"/>
        <w:rPr>
          <w:rFonts w:ascii="Arial" w:eastAsia="Arial" w:hAnsi="Arial" w:cs="Arial"/>
          <w:b/>
          <w:bCs/>
        </w:rPr>
      </w:pPr>
    </w:p>
    <w:p w14:paraId="739E2879" w14:textId="77777777" w:rsidR="004B487C" w:rsidRDefault="00000000" w:rsidP="008F2CD9">
      <w:pPr>
        <w:spacing w:line="479" w:lineRule="auto"/>
        <w:ind w:firstLine="0"/>
        <w:jc w:val="center"/>
      </w:pPr>
      <w:r>
        <w:rPr>
          <w:rFonts w:ascii="Arial" w:eastAsia="Arial" w:hAnsi="Arial" w:cs="Arial"/>
          <w:b/>
          <w:bCs/>
        </w:rPr>
        <w:t>Dissertation &amp; Abstracts v20i4</w:t>
      </w:r>
      <w:r>
        <w:rPr>
          <w:rFonts w:ascii="Arial" w:eastAsia="Arial" w:hAnsi="Arial" w:cs="Arial"/>
          <w:sz w:val="30"/>
          <w:szCs w:val="30"/>
        </w:rPr>
        <w:br/>
      </w:r>
      <w:r>
        <w:rPr>
          <w:rFonts w:ascii="Arial" w:eastAsia="Arial" w:hAnsi="Arial" w:cs="Arial"/>
          <w:sz w:val="30"/>
          <w:szCs w:val="30"/>
        </w:rPr>
        <w:br/>
      </w:r>
      <w:r>
        <w:t>Sandra S. Oshiro</w:t>
      </w:r>
    </w:p>
    <w:p w14:paraId="15839662" w14:textId="77777777" w:rsidR="004B487C" w:rsidRDefault="00000000" w:rsidP="008F2CD9">
      <w:pPr>
        <w:spacing w:line="479" w:lineRule="auto"/>
        <w:ind w:firstLine="0"/>
        <w:jc w:val="center"/>
      </w:pPr>
      <w:r>
        <w:t xml:space="preserve">Center on Disability Studies, University of </w:t>
      </w:r>
      <w:proofErr w:type="spellStart"/>
      <w:r>
        <w:t>Hawaiʻi</w:t>
      </w:r>
      <w:proofErr w:type="spellEnd"/>
      <w:r>
        <w:t xml:space="preserve"> at Mānoa</w:t>
      </w:r>
    </w:p>
    <w:p w14:paraId="742CDAC8" w14:textId="77777777" w:rsidR="004B487C" w:rsidRDefault="00000000">
      <w:pPr>
        <w:spacing w:line="479" w:lineRule="auto"/>
        <w:ind w:left="180"/>
      </w:pPr>
      <w:r>
        <w:t xml:space="preserve"> </w:t>
      </w:r>
    </w:p>
    <w:p w14:paraId="77D218CC" w14:textId="77777777" w:rsidR="004B487C" w:rsidRDefault="004B487C">
      <w:pPr>
        <w:spacing w:line="480" w:lineRule="auto"/>
        <w:jc w:val="center"/>
        <w:rPr>
          <w:b/>
          <w:bCs/>
        </w:rPr>
      </w:pPr>
    </w:p>
    <w:p w14:paraId="511070BC" w14:textId="77777777" w:rsidR="004B487C" w:rsidRDefault="004B487C" w:rsidP="002070E0">
      <w:pPr>
        <w:spacing w:line="480" w:lineRule="auto"/>
        <w:rPr>
          <w:b/>
          <w:bCs/>
        </w:rPr>
      </w:pPr>
    </w:p>
    <w:p w14:paraId="68BFEB06" w14:textId="77777777" w:rsidR="004B487C" w:rsidRDefault="004B487C" w:rsidP="002070E0">
      <w:pPr>
        <w:spacing w:line="480" w:lineRule="auto"/>
        <w:rPr>
          <w:b/>
          <w:bCs/>
        </w:rPr>
      </w:pPr>
    </w:p>
    <w:p w14:paraId="1E3252D6" w14:textId="77777777" w:rsidR="004B487C" w:rsidRDefault="004B487C" w:rsidP="002070E0">
      <w:pPr>
        <w:spacing w:line="480" w:lineRule="auto"/>
        <w:rPr>
          <w:b/>
          <w:bCs/>
        </w:rPr>
      </w:pPr>
    </w:p>
    <w:p w14:paraId="0BA0A493" w14:textId="77777777" w:rsidR="004B487C" w:rsidRDefault="00000000" w:rsidP="008F2CD9">
      <w:pPr>
        <w:spacing w:line="480" w:lineRule="auto"/>
        <w:ind w:firstLine="0"/>
        <w:jc w:val="center"/>
        <w:rPr>
          <w:b/>
          <w:bCs/>
        </w:rPr>
      </w:pPr>
      <w:r>
        <w:rPr>
          <w:b/>
          <w:bCs/>
        </w:rPr>
        <w:t>Abstract</w:t>
      </w:r>
    </w:p>
    <w:p w14:paraId="2CD66429" w14:textId="77777777" w:rsidR="004B487C" w:rsidRDefault="00000000" w:rsidP="002070E0">
      <w:pPr>
        <w:spacing w:line="480" w:lineRule="auto"/>
        <w:rPr>
          <w:b/>
          <w:bCs/>
        </w:rPr>
      </w:pPr>
      <w:r>
        <w:t>The following provides a listing of select citations of recent dissertations and theses relevant to disability studies.</w:t>
      </w:r>
    </w:p>
    <w:p w14:paraId="37CD3AAF" w14:textId="77777777" w:rsidR="004B487C" w:rsidRDefault="00000000" w:rsidP="002070E0">
      <w:pPr>
        <w:spacing w:line="480" w:lineRule="auto"/>
      </w:pPr>
      <w:r>
        <w:rPr>
          <w:i/>
          <w:iCs/>
        </w:rPr>
        <w:t>Keywords</w:t>
      </w:r>
      <w:r>
        <w:t xml:space="preserve">: disability, disability studies, dissertations  </w:t>
      </w:r>
    </w:p>
    <w:p w14:paraId="7A3A6F87" w14:textId="77777777" w:rsidR="004B487C" w:rsidRDefault="004B487C" w:rsidP="002070E0">
      <w:pPr>
        <w:spacing w:line="480" w:lineRule="auto"/>
        <w:rPr>
          <w:b/>
          <w:bCs/>
        </w:rPr>
        <w:sectPr w:rsidR="004B487C">
          <w:headerReference w:type="even" r:id="rId88"/>
          <w:headerReference w:type="default" r:id="rId89"/>
          <w:footerReference w:type="even" r:id="rId90"/>
          <w:footerReference w:type="default" r:id="rId91"/>
          <w:headerReference w:type="first" r:id="rId92"/>
          <w:footerReference w:type="first" r:id="rId93"/>
          <w:pgSz w:w="11906" w:h="16838"/>
          <w:pgMar w:top="1440" w:right="1440" w:bottom="1440" w:left="1440" w:header="0" w:footer="720" w:gutter="0"/>
          <w:pgNumType w:start="1"/>
          <w:cols w:space="720"/>
        </w:sectPr>
      </w:pPr>
    </w:p>
    <w:p w14:paraId="181E2B2D" w14:textId="77777777" w:rsidR="004B487C" w:rsidRDefault="004B487C">
      <w:pPr>
        <w:spacing w:line="480" w:lineRule="auto"/>
      </w:pPr>
    </w:p>
    <w:p w14:paraId="586B18D7" w14:textId="77777777" w:rsidR="004B487C" w:rsidRDefault="004B487C">
      <w:pPr>
        <w:spacing w:line="480" w:lineRule="auto"/>
      </w:pPr>
    </w:p>
    <w:p w14:paraId="1FA4D27D" w14:textId="77777777" w:rsidR="004B487C" w:rsidRDefault="004B487C">
      <w:pPr>
        <w:spacing w:line="480" w:lineRule="auto"/>
      </w:pPr>
    </w:p>
    <w:p w14:paraId="358C6699" w14:textId="77777777" w:rsidR="004B487C" w:rsidRDefault="004B487C" w:rsidP="008F2CD9">
      <w:pPr>
        <w:spacing w:line="480" w:lineRule="auto"/>
        <w:ind w:firstLine="0"/>
        <w:rPr>
          <w:highlight w:val="white"/>
        </w:rPr>
      </w:pPr>
    </w:p>
    <w:p w14:paraId="6648BB92" w14:textId="77777777" w:rsidR="004B487C" w:rsidRDefault="00000000">
      <w:pPr>
        <w:spacing w:line="480" w:lineRule="auto"/>
        <w:ind w:left="720" w:hanging="720"/>
        <w:rPr>
          <w:highlight w:val="white"/>
        </w:rPr>
      </w:pPr>
      <w:r>
        <w:rPr>
          <w:highlight w:val="white"/>
        </w:rPr>
        <w:t xml:space="preserve">Cole, S. A. (2025). </w:t>
      </w:r>
      <w:r>
        <w:rPr>
          <w:i/>
          <w:iCs/>
          <w:highlight w:val="white"/>
        </w:rPr>
        <w:t>Understanding disability by becoming disabled: An autoethnography of a stroke survivor.</w:t>
      </w:r>
      <w:r>
        <w:rPr>
          <w:highlight w:val="white"/>
        </w:rPr>
        <w:t xml:space="preserve"> [Doctoral dissertation, Texas Christian University]. </w:t>
      </w:r>
      <w:r>
        <w:t xml:space="preserve">ProQuest Dissertations &amp; Theses Global. </w:t>
      </w:r>
      <w:hyperlink r:id="rId94">
        <w:r>
          <w:rPr>
            <w:color w:val="467886"/>
            <w:highlight w:val="white"/>
            <w:u w:val="single"/>
          </w:rPr>
          <w:t>https://www.proquest.com/dissertations-theses/understanding-disability-becoming-disabled/docview/3224180440/se-2?accountid=27140</w:t>
        </w:r>
      </w:hyperlink>
    </w:p>
    <w:p w14:paraId="0F50AE87" w14:textId="77777777" w:rsidR="004B487C" w:rsidRDefault="00000000">
      <w:pPr>
        <w:spacing w:line="480" w:lineRule="auto"/>
        <w:ind w:left="720" w:hanging="720"/>
      </w:pPr>
      <w:r>
        <w:t xml:space="preserve">Little, H. (2025). </w:t>
      </w:r>
      <w:r>
        <w:rPr>
          <w:i/>
          <w:iCs/>
        </w:rPr>
        <w:t>Students’ engagement with mental disability knowledge and theory in the writing classroom: Implications for transfer research.</w:t>
      </w:r>
      <w:r>
        <w:t xml:space="preserve"> [Doctoral dissertation, University of Washington]. ProQuest Dissertations &amp; Theses Global. </w:t>
      </w:r>
      <w:hyperlink r:id="rId95">
        <w:r>
          <w:rPr>
            <w:color w:val="467886"/>
            <w:u w:val="single"/>
          </w:rPr>
          <w:t>https://www.proquest.com/dissertations-theses/students-engagement-with-mental-disability/docview/3230177292/se-2?accountid=27140</w:t>
        </w:r>
      </w:hyperlink>
    </w:p>
    <w:p w14:paraId="25442665" w14:textId="77777777" w:rsidR="004B487C" w:rsidRDefault="00000000">
      <w:pPr>
        <w:spacing w:line="480" w:lineRule="auto"/>
        <w:ind w:left="720" w:hanging="720"/>
      </w:pPr>
      <w:r>
        <w:rPr>
          <w:highlight w:val="white"/>
        </w:rPr>
        <w:t xml:space="preserve">Powell, V. H. (2025). </w:t>
      </w:r>
      <w:r>
        <w:rPr>
          <w:i/>
          <w:iCs/>
          <w:highlight w:val="white"/>
        </w:rPr>
        <w:t>Black community college students with nonapparent disabilities: A hermeneutic phenomenological study exploring self-advocacy</w:t>
      </w:r>
      <w:r>
        <w:rPr>
          <w:highlight w:val="white"/>
        </w:rPr>
        <w:t xml:space="preserve">. [Doctoral dissertation, Morgan State University]. </w:t>
      </w:r>
      <w:r>
        <w:t xml:space="preserve">ProQuest Dissertations &amp; Theses Global. </w:t>
      </w:r>
      <w:hyperlink r:id="rId96">
        <w:r>
          <w:rPr>
            <w:color w:val="467886"/>
            <w:u w:val="single"/>
          </w:rPr>
          <w:t>https://www.proquest.com/dissertations-theses/black-community-college-students-with-nonapparent/docview/3272508267/se-2?accountid=27140</w:t>
        </w:r>
      </w:hyperlink>
    </w:p>
    <w:p w14:paraId="4281B0C1" w14:textId="77777777" w:rsidR="004B487C" w:rsidRDefault="00000000">
      <w:pPr>
        <w:spacing w:line="480" w:lineRule="auto"/>
        <w:ind w:left="720" w:hanging="720"/>
      </w:pPr>
      <w:proofErr w:type="spellStart"/>
      <w:r>
        <w:t>Sarchet</w:t>
      </w:r>
      <w:proofErr w:type="spellEnd"/>
      <w:r>
        <w:t xml:space="preserve">, L. N. (2024). </w:t>
      </w:r>
      <w:r>
        <w:rPr>
          <w:i/>
          <w:iCs/>
        </w:rPr>
        <w:t>Disability-reflective pedagogy: A narrative inquiry into the experiences of neurodivergent and disabled faculty members in teacher education programs in higher education</w:t>
      </w:r>
      <w:r>
        <w:t xml:space="preserve"> [Doctoral dissertation, University of Rochester]. ProQuest Dissertations &amp; Theses Global. </w:t>
      </w:r>
      <w:hyperlink r:id="rId97">
        <w:r>
          <w:rPr>
            <w:color w:val="467886"/>
            <w:u w:val="single"/>
          </w:rPr>
          <w:t>https://www.proquest.com/dissertations-theses/disability-reflective-pedagogy-narrative-inquiry/docview/3145231275/se-2?accountid=27140</w:t>
        </w:r>
      </w:hyperlink>
    </w:p>
    <w:p w14:paraId="0466C192" w14:textId="77777777" w:rsidR="004B487C" w:rsidRDefault="00000000">
      <w:pPr>
        <w:spacing w:line="480" w:lineRule="auto"/>
        <w:ind w:left="720" w:hanging="720"/>
      </w:pPr>
      <w:proofErr w:type="spellStart"/>
      <w:r>
        <w:lastRenderedPageBreak/>
        <w:t>Sarro</w:t>
      </w:r>
      <w:proofErr w:type="spellEnd"/>
      <w:r>
        <w:t xml:space="preserve">-Glantz, M. (2025). </w:t>
      </w:r>
      <w:r>
        <w:rPr>
          <w:i/>
          <w:iCs/>
        </w:rPr>
        <w:t>Disability-specific personal factors and academic performance in higher education.</w:t>
      </w:r>
      <w:r>
        <w:t xml:space="preserve"> [Doctoral dissertation, University of Maryland, College Park]. ProQuest Dissertations &amp; Theses Global. </w:t>
      </w:r>
      <w:hyperlink r:id="rId98">
        <w:r>
          <w:rPr>
            <w:color w:val="467886"/>
            <w:u w:val="single"/>
          </w:rPr>
          <w:t>https://www.proquest.com/dissertations-theses/disability-specific-personal-factors-academic/docview/3250338125/se-2?accountid=27140</w:t>
        </w:r>
      </w:hyperlink>
    </w:p>
    <w:p w14:paraId="751CAF44" w14:textId="77777777" w:rsidR="004B487C" w:rsidRDefault="00000000">
      <w:pPr>
        <w:spacing w:line="480" w:lineRule="auto"/>
        <w:ind w:left="720" w:hanging="720"/>
      </w:pPr>
      <w:r>
        <w:rPr>
          <w:highlight w:val="white"/>
        </w:rPr>
        <w:t xml:space="preserve">Thorp, J. R. (2025). </w:t>
      </w:r>
      <w:r>
        <w:rPr>
          <w:i/>
          <w:iCs/>
          <w:highlight w:val="white"/>
        </w:rPr>
        <w:t>Body politic: Disability and political cohesion. </w:t>
      </w:r>
      <w:r>
        <w:rPr>
          <w:highlight w:val="white"/>
        </w:rPr>
        <w:t xml:space="preserve">[Doctoral dissertation, University of Michigan]. </w:t>
      </w:r>
      <w:r>
        <w:t>ProQuest Dissertations &amp; Theses Global.</w:t>
      </w:r>
      <w:r>
        <w:rPr>
          <w:highlight w:val="white"/>
        </w:rPr>
        <w:t xml:space="preserve"> </w:t>
      </w:r>
      <w:hyperlink r:id="rId99">
        <w:r>
          <w:rPr>
            <w:color w:val="467886"/>
            <w:highlight w:val="white"/>
            <w:u w:val="single"/>
          </w:rPr>
          <w:t>https://www.proquest.com/dissertations-theses/body-politic-disability-political-cohesion/docview/3244904232/se-2?accountid=27140</w:t>
        </w:r>
      </w:hyperlink>
    </w:p>
    <w:p w14:paraId="687CAA81" w14:textId="77777777" w:rsidR="004B487C" w:rsidRDefault="00000000">
      <w:pPr>
        <w:spacing w:line="480" w:lineRule="auto"/>
        <w:ind w:left="720" w:hanging="720"/>
      </w:pPr>
      <w:proofErr w:type="spellStart"/>
      <w:r>
        <w:rPr>
          <w:highlight w:val="white"/>
        </w:rPr>
        <w:t>Wolney</w:t>
      </w:r>
      <w:proofErr w:type="spellEnd"/>
      <w:r>
        <w:rPr>
          <w:highlight w:val="white"/>
        </w:rPr>
        <w:t xml:space="preserve">, R. R. (2025). </w:t>
      </w:r>
      <w:r>
        <w:rPr>
          <w:i/>
          <w:iCs/>
          <w:highlight w:val="white"/>
        </w:rPr>
        <w:t>Disability and education: A qualitative study of teachers’ and parents’ perceptions of resources, accountability, and relationships.</w:t>
      </w:r>
      <w:r>
        <w:rPr>
          <w:highlight w:val="white"/>
        </w:rPr>
        <w:t xml:space="preserve"> [Doctoral dissertation, Washington State University]. </w:t>
      </w:r>
      <w:r>
        <w:t>ProQuest Dissertations &amp; Theses Global.</w:t>
      </w:r>
      <w:r>
        <w:rPr>
          <w:highlight w:val="white"/>
        </w:rPr>
        <w:t xml:space="preserve"> </w:t>
      </w:r>
      <w:hyperlink r:id="rId100">
        <w:r>
          <w:rPr>
            <w:color w:val="467886"/>
            <w:highlight w:val="white"/>
            <w:u w:val="single"/>
          </w:rPr>
          <w:t>https://www.proquest.com/dissertations-theses/disability-education-qualitative-study-teachers/docview/3224362065/se-2?accountid=27140</w:t>
        </w:r>
      </w:hyperlink>
    </w:p>
    <w:p w14:paraId="11A5F8CC" w14:textId="77777777" w:rsidR="004B487C" w:rsidRDefault="004B487C"/>
    <w:p w14:paraId="700F90D6" w14:textId="77777777" w:rsidR="004B487C" w:rsidRDefault="004B487C"/>
    <w:p w14:paraId="20344DB7" w14:textId="77777777" w:rsidR="004B487C" w:rsidRDefault="004B487C"/>
    <w:p w14:paraId="11963595" w14:textId="77777777" w:rsidR="004B487C" w:rsidRDefault="004B487C"/>
    <w:p w14:paraId="4A924F46" w14:textId="77777777" w:rsidR="004B487C" w:rsidRDefault="004B487C"/>
    <w:p w14:paraId="69F80878" w14:textId="77777777" w:rsidR="004B487C" w:rsidRDefault="00000000" w:rsidP="008F2CD9">
      <w:pPr>
        <w:ind w:firstLine="0"/>
      </w:pPr>
      <w:r>
        <w:rPr>
          <w:noProof/>
        </w:rPr>
        <w:drawing>
          <wp:inline distT="114300" distB="114300" distL="114300" distR="114300" wp14:anchorId="550AA0AC" wp14:editId="13C2D229">
            <wp:extent cx="762000" cy="142875"/>
            <wp:effectExtent l="0" t="0" r="0" b="0"/>
            <wp:docPr id="13" name="image1.png" descr="Creative Commons CC:BY logo"/>
            <wp:cNvGraphicFramePr/>
            <a:graphic xmlns:a="http://schemas.openxmlformats.org/drawingml/2006/main">
              <a:graphicData uri="http://schemas.openxmlformats.org/drawingml/2006/picture">
                <pic:pic xmlns:pic="http://schemas.openxmlformats.org/drawingml/2006/picture">
                  <pic:nvPicPr>
                    <pic:cNvPr id="13" name="image1.png" descr="Creative Commons CC:BY logo"/>
                    <pic:cNvPicPr preferRelativeResize="0"/>
                  </pic:nvPicPr>
                  <pic:blipFill>
                    <a:blip r:embed="rId7"/>
                    <a:srcRect/>
                    <a:stretch>
                      <a:fillRect/>
                    </a:stretch>
                  </pic:blipFill>
                  <pic:spPr>
                    <a:xfrm>
                      <a:off x="0" y="0"/>
                      <a:ext cx="762000" cy="142875"/>
                    </a:xfrm>
                    <a:prstGeom prst="rect">
                      <a:avLst/>
                    </a:prstGeom>
                    <a:ln/>
                  </pic:spPr>
                </pic:pic>
              </a:graphicData>
            </a:graphic>
          </wp:inline>
        </w:drawing>
      </w:r>
      <w:r>
        <w:rPr>
          <w:b/>
          <w:bCs/>
        </w:rPr>
        <w:t xml:space="preserve">Dissertations and Abstracts v20i4 </w:t>
      </w:r>
      <w:r>
        <w:t xml:space="preserve">by Sandra S. Oshiro </w:t>
      </w:r>
      <w:hyperlink r:id="rId101">
        <w:r>
          <w:rPr>
            <w:color w:val="467886"/>
            <w:u w:val="single"/>
          </w:rPr>
          <w:t>https://rdsjournal.org/index.php/journal/article/viewk/1464</w:t>
        </w:r>
      </w:hyperlink>
      <w:r>
        <w:t xml:space="preserve"> is licensed under a</w:t>
      </w:r>
      <w:hyperlink r:id="rId102">
        <w:r>
          <w:t xml:space="preserve"> </w:t>
        </w:r>
      </w:hyperlink>
      <w:hyperlink r:id="rId103">
        <w:r>
          <w:rPr>
            <w:color w:val="1155CC"/>
            <w:u w:val="single"/>
          </w:rPr>
          <w:t>Creative Commons Attribution 4.0 International License</w:t>
        </w:r>
      </w:hyperlink>
      <w:r>
        <w:t>. Based on a work at</w:t>
      </w:r>
      <w:hyperlink r:id="rId104">
        <w:r>
          <w:t xml:space="preserve"> </w:t>
        </w:r>
      </w:hyperlink>
      <w:hyperlink r:id="rId105">
        <w:r>
          <w:rPr>
            <w:color w:val="1155CC"/>
            <w:u w:val="single"/>
          </w:rPr>
          <w:t>https://rdsjournal.org</w:t>
        </w:r>
      </w:hyperlink>
      <w:r>
        <w:t>.</w:t>
      </w:r>
    </w:p>
    <w:p w14:paraId="6B69CDD7" w14:textId="77777777" w:rsidR="004B487C" w:rsidRDefault="004B487C">
      <w:pPr>
        <w:spacing w:line="480" w:lineRule="auto"/>
        <w:ind w:left="720" w:hanging="720"/>
      </w:pPr>
    </w:p>
    <w:sectPr w:rsidR="004B487C">
      <w:headerReference w:type="even" r:id="rId106"/>
      <w:headerReference w:type="default" r:id="rId107"/>
      <w:footerReference w:type="even" r:id="rId108"/>
      <w:footerReference w:type="default" r:id="rId109"/>
      <w:headerReference w:type="first" r:id="rId110"/>
      <w:footerReference w:type="first" r:id="rId111"/>
      <w:type w:val="continuous"/>
      <w:pgSz w:w="11906" w:h="16838"/>
      <w:pgMar w:top="90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180DAF" w14:textId="77777777" w:rsidR="005C6A3B" w:rsidRDefault="005C6A3B">
      <w:pPr>
        <w:spacing w:after="0" w:line="240" w:lineRule="auto"/>
      </w:pPr>
      <w:r>
        <w:separator/>
      </w:r>
    </w:p>
  </w:endnote>
  <w:endnote w:type="continuationSeparator" w:id="0">
    <w:p w14:paraId="088FA2BC" w14:textId="77777777" w:rsidR="005C6A3B" w:rsidRDefault="005C6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F7CE685-8B54-EF43-9E0C-9797E7150ADE}"/>
    <w:embedBold r:id="rId2" w:fontKey="{3252A9F3-2B2A-D84E-835D-AF725BAB9A00}"/>
    <w:embedItalic r:id="rId3" w:fontKey="{7CB16F67-A1A0-B04B-9EFA-A7BAA0CB1CC7}"/>
    <w:embedBoldItalic r:id="rId4" w:fontKey="{69871A77-5902-394C-9C4B-3563DAC3387A}"/>
  </w:font>
  <w:font w:name="Arial">
    <w:panose1 w:val="020B0604020202020204"/>
    <w:charset w:val="00"/>
    <w:family w:val="swiss"/>
    <w:pitch w:val="variable"/>
    <w:sig w:usb0="E0002AFF" w:usb1="C0007843" w:usb2="00000009" w:usb3="00000000" w:csb0="000001FF" w:csb1="00000000"/>
    <w:embedRegular r:id="rId5" w:fontKey="{BBDCAC20-6381-0D45-AB51-1335D7CDBC52}"/>
    <w:embedBold r:id="rId6" w:fontKey="{29FA0770-8C55-5648-A20E-94D13D1789B4}"/>
  </w:font>
  <w:font w:name="Georgia">
    <w:panose1 w:val="02040502050405020303"/>
    <w:charset w:val="00"/>
    <w:family w:val="roman"/>
    <w:pitch w:val="variable"/>
    <w:sig w:usb0="00000287" w:usb1="00000000" w:usb2="00000000" w:usb3="00000000" w:csb0="0000009F" w:csb1="00000000"/>
    <w:embedItalic r:id="rId7" w:fontKey="{7EA58D21-7EF4-954C-8281-7F6E39F84C38}"/>
  </w:font>
  <w:font w:name="Calibri">
    <w:panose1 w:val="020F0502020204030204"/>
    <w:charset w:val="00"/>
    <w:family w:val="swiss"/>
    <w:pitch w:val="variable"/>
    <w:sig w:usb0="E0002AFF" w:usb1="C000247B" w:usb2="00000009" w:usb3="00000000" w:csb0="000001FF" w:csb1="00000000"/>
    <w:embedRegular r:id="rId8" w:fontKey="{034C3EC5-50E0-714D-AED7-15963290476C}"/>
  </w:font>
  <w:font w:name="Cambria">
    <w:panose1 w:val="02040503050406030204"/>
    <w:charset w:val="00"/>
    <w:family w:val="roman"/>
    <w:pitch w:val="variable"/>
    <w:sig w:usb0="E00002FF" w:usb1="400004FF" w:usb2="00000000" w:usb3="00000000" w:csb0="0000019F" w:csb1="00000000"/>
    <w:embedRegular r:id="rId9" w:fontKey="{BF64FC21-F34E-7346-B54C-E90D1D4AFB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64AAD"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BD313" w14:textId="77777777" w:rsidR="0006551D" w:rsidRDefault="0006551D">
    <w:pPr>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Ind w:w="0" w:type="dxa"/>
      <w:tblLayout w:type="fixed"/>
      <w:tblLook w:val="0600" w:firstRow="0" w:lastRow="0" w:firstColumn="0" w:lastColumn="0" w:noHBand="1" w:noVBand="1"/>
    </w:tblPr>
    <w:tblGrid>
      <w:gridCol w:w="11895"/>
    </w:tblGrid>
    <w:tr w:rsidR="0006551D" w14:paraId="7C566375" w14:textId="77777777">
      <w:trPr>
        <w:trHeight w:val="500"/>
        <w:jc w:val="center"/>
      </w:trPr>
      <w:tc>
        <w:tcPr>
          <w:tcW w:w="11895" w:type="dxa"/>
          <w:shd w:val="clear" w:color="auto" w:fill="400080"/>
          <w:tcMar>
            <w:top w:w="0" w:type="dxa"/>
            <w:left w:w="0" w:type="dxa"/>
            <w:bottom w:w="0" w:type="dxa"/>
            <w:right w:w="0" w:type="dxa"/>
          </w:tcMar>
          <w:vAlign w:val="center"/>
        </w:tcPr>
        <w:p w14:paraId="130D327B" w14:textId="77777777" w:rsidR="0006551D" w:rsidRDefault="0000000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D52FA5">
            <w:rPr>
              <w:rFonts w:ascii="Arial" w:eastAsia="Arial" w:hAnsi="Arial" w:cs="Arial"/>
              <w:noProof/>
              <w:color w:val="FFFFFF"/>
            </w:rPr>
            <w:t>1</w:t>
          </w:r>
          <w:r>
            <w:rPr>
              <w:rFonts w:ascii="Arial" w:eastAsia="Arial" w:hAnsi="Arial" w:cs="Arial"/>
              <w:color w:val="FFFFFF"/>
            </w:rPr>
            <w:fldChar w:fldCharType="end"/>
          </w:r>
        </w:p>
      </w:tc>
    </w:tr>
  </w:tbl>
  <w:p w14:paraId="19328A59" w14:textId="77777777" w:rsidR="0006551D" w:rsidRDefault="0006551D">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42B10"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7B4E5"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7B868" w14:textId="77777777" w:rsidR="0006551D" w:rsidRDefault="0006551D">
    <w:pPr>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Ind w:w="0" w:type="dxa"/>
      <w:tblLayout w:type="fixed"/>
      <w:tblLook w:val="0600" w:firstRow="0" w:lastRow="0" w:firstColumn="0" w:lastColumn="0" w:noHBand="1" w:noVBand="1"/>
    </w:tblPr>
    <w:tblGrid>
      <w:gridCol w:w="11895"/>
    </w:tblGrid>
    <w:tr w:rsidR="0006551D" w14:paraId="49BCC79F" w14:textId="77777777">
      <w:trPr>
        <w:trHeight w:val="500"/>
        <w:jc w:val="center"/>
      </w:trPr>
      <w:tc>
        <w:tcPr>
          <w:tcW w:w="11895" w:type="dxa"/>
          <w:shd w:val="clear" w:color="auto" w:fill="400080"/>
          <w:tcMar>
            <w:top w:w="0" w:type="dxa"/>
            <w:left w:w="0" w:type="dxa"/>
            <w:bottom w:w="0" w:type="dxa"/>
            <w:right w:w="0" w:type="dxa"/>
          </w:tcMar>
          <w:vAlign w:val="center"/>
        </w:tcPr>
        <w:p w14:paraId="360A71CE" w14:textId="77777777" w:rsidR="0006551D" w:rsidRDefault="0000000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D52FA5">
            <w:rPr>
              <w:rFonts w:ascii="Arial" w:eastAsia="Arial" w:hAnsi="Arial" w:cs="Arial"/>
              <w:noProof/>
              <w:color w:val="FFFFFF"/>
            </w:rPr>
            <w:t>1</w:t>
          </w:r>
          <w:r>
            <w:rPr>
              <w:rFonts w:ascii="Arial" w:eastAsia="Arial" w:hAnsi="Arial" w:cs="Arial"/>
              <w:color w:val="FFFFFF"/>
            </w:rPr>
            <w:fldChar w:fldCharType="end"/>
          </w:r>
        </w:p>
      </w:tc>
    </w:tr>
  </w:tbl>
  <w:p w14:paraId="6A430C28" w14:textId="77777777" w:rsidR="0006551D" w:rsidRDefault="0006551D">
    <w:pPr>
      <w:pBdr>
        <w:top w:val="nil"/>
        <w:left w:val="nil"/>
        <w:bottom w:val="nil"/>
        <w:right w:val="nil"/>
        <w:between w:val="nil"/>
      </w:pBdr>
      <w:tabs>
        <w:tab w:val="center" w:pos="4536"/>
        <w:tab w:val="right" w:pos="9072"/>
      </w:tabs>
      <w:spacing w:after="0" w:line="240" w:lineRule="auto"/>
      <w:ind w:right="36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2CDBB"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FAA259" w14:textId="77777777" w:rsidR="005C6A3B" w:rsidRDefault="005C6A3B">
      <w:pPr>
        <w:spacing w:after="0" w:line="240" w:lineRule="auto"/>
      </w:pPr>
      <w:r>
        <w:separator/>
      </w:r>
    </w:p>
  </w:footnote>
  <w:footnote w:type="continuationSeparator" w:id="0">
    <w:p w14:paraId="7C48609B" w14:textId="77777777" w:rsidR="005C6A3B" w:rsidRDefault="005C6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E9828"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CA1A3" w14:textId="77777777" w:rsidR="0006551D" w:rsidRDefault="0006551D">
    <w:pPr>
      <w:pBdr>
        <w:top w:val="nil"/>
        <w:left w:val="nil"/>
        <w:bottom w:val="nil"/>
        <w:right w:val="nil"/>
        <w:between w:val="nil"/>
      </w:pBdr>
      <w:spacing w:after="0"/>
    </w:pPr>
  </w:p>
  <w:tbl>
    <w:tblPr>
      <w:tblStyle w:val="a"/>
      <w:tblW w:w="11773" w:type="dxa"/>
      <w:jc w:val="center"/>
      <w:tblInd w:w="0" w:type="dxa"/>
      <w:tblLayout w:type="fixed"/>
      <w:tblLook w:val="0400" w:firstRow="0" w:lastRow="0" w:firstColumn="0" w:lastColumn="0" w:noHBand="0" w:noVBand="1"/>
    </w:tblPr>
    <w:tblGrid>
      <w:gridCol w:w="9312"/>
      <w:gridCol w:w="2461"/>
    </w:tblGrid>
    <w:tr w:rsidR="0006551D" w14:paraId="7F210C04" w14:textId="77777777">
      <w:trPr>
        <w:trHeight w:val="1274"/>
        <w:jc w:val="center"/>
      </w:trPr>
      <w:tc>
        <w:tcPr>
          <w:tcW w:w="9312" w:type="dxa"/>
          <w:shd w:val="clear" w:color="auto" w:fill="400080"/>
          <w:vAlign w:val="center"/>
        </w:tcPr>
        <w:p w14:paraId="4161C2A1" w14:textId="77777777" w:rsidR="0006551D" w:rsidRDefault="00000000">
          <w:pPr>
            <w:widowControl/>
            <w:pBdr>
              <w:top w:val="nil"/>
              <w:left w:val="nil"/>
              <w:bottom w:val="nil"/>
              <w:right w:val="nil"/>
              <w:between w:val="nil"/>
            </w:pBdr>
            <w:tabs>
              <w:tab w:val="center" w:pos="4320"/>
              <w:tab w:val="right" w:pos="8640"/>
            </w:tabs>
            <w:spacing w:after="0" w:line="240" w:lineRule="auto"/>
            <w:ind w:right="244"/>
            <w:jc w:val="right"/>
            <w:rPr>
              <w:rFonts w:ascii="Arial" w:eastAsia="Arial" w:hAnsi="Arial" w:cs="Arial"/>
              <w:b/>
              <w:bCs/>
              <w:smallCaps/>
              <w:color w:val="FFFFFF"/>
            </w:rPr>
          </w:pPr>
          <w:r>
            <w:rPr>
              <w:rFonts w:ascii="Arial" w:eastAsia="Arial" w:hAnsi="Arial" w:cs="Arial"/>
              <w:b/>
              <w:bCs/>
              <w:smallCaps/>
              <w:color w:val="FFFFFF"/>
            </w:rPr>
            <w:t xml:space="preserve"> REVIEW OF DISABILITY STUDIES: AN INTERNATIONAL JOURNAL</w:t>
          </w:r>
        </w:p>
      </w:tc>
      <w:tc>
        <w:tcPr>
          <w:tcW w:w="2461" w:type="dxa"/>
          <w:shd w:val="clear" w:color="auto" w:fill="000000"/>
          <w:vAlign w:val="center"/>
        </w:tcPr>
        <w:p w14:paraId="5E748137" w14:textId="77777777" w:rsidR="0006551D"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Volume 20 Issue 4</w:t>
          </w:r>
        </w:p>
        <w:p w14:paraId="368DF5F2" w14:textId="77777777" w:rsidR="0006551D"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(2026)</w:t>
          </w:r>
        </w:p>
      </w:tc>
    </w:tr>
  </w:tbl>
  <w:p w14:paraId="31D7041E" w14:textId="77777777" w:rsidR="0006551D" w:rsidRDefault="0006551D">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00F55"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0882"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15638" w14:textId="77777777" w:rsidR="0006551D" w:rsidRDefault="0006551D">
    <w:pPr>
      <w:pBdr>
        <w:top w:val="nil"/>
        <w:left w:val="nil"/>
        <w:bottom w:val="nil"/>
        <w:right w:val="nil"/>
        <w:between w:val="nil"/>
      </w:pBdr>
      <w:spacing w:after="0"/>
    </w:pPr>
  </w:p>
  <w:tbl>
    <w:tblPr>
      <w:tblStyle w:val="a"/>
      <w:tblW w:w="11773" w:type="dxa"/>
      <w:jc w:val="center"/>
      <w:tblInd w:w="0" w:type="dxa"/>
      <w:tblLayout w:type="fixed"/>
      <w:tblLook w:val="0400" w:firstRow="0" w:lastRow="0" w:firstColumn="0" w:lastColumn="0" w:noHBand="0" w:noVBand="1"/>
    </w:tblPr>
    <w:tblGrid>
      <w:gridCol w:w="9312"/>
      <w:gridCol w:w="2461"/>
    </w:tblGrid>
    <w:tr w:rsidR="0006551D" w14:paraId="0948A875" w14:textId="77777777">
      <w:trPr>
        <w:trHeight w:val="1274"/>
        <w:jc w:val="center"/>
      </w:trPr>
      <w:tc>
        <w:tcPr>
          <w:tcW w:w="9312" w:type="dxa"/>
          <w:shd w:val="clear" w:color="auto" w:fill="400080"/>
          <w:vAlign w:val="center"/>
        </w:tcPr>
        <w:p w14:paraId="18C5931D" w14:textId="77777777" w:rsidR="0006551D" w:rsidRDefault="00000000">
          <w:pPr>
            <w:widowControl/>
            <w:pBdr>
              <w:top w:val="nil"/>
              <w:left w:val="nil"/>
              <w:bottom w:val="nil"/>
              <w:right w:val="nil"/>
              <w:between w:val="nil"/>
            </w:pBdr>
            <w:tabs>
              <w:tab w:val="center" w:pos="4320"/>
              <w:tab w:val="right" w:pos="8640"/>
            </w:tabs>
            <w:spacing w:after="0" w:line="240" w:lineRule="auto"/>
            <w:ind w:right="244"/>
            <w:jc w:val="right"/>
            <w:rPr>
              <w:rFonts w:ascii="Arial" w:eastAsia="Arial" w:hAnsi="Arial" w:cs="Arial"/>
              <w:b/>
              <w:bCs/>
              <w:smallCaps/>
              <w:color w:val="FFFFFF"/>
            </w:rPr>
          </w:pPr>
          <w:r>
            <w:rPr>
              <w:rFonts w:ascii="Arial" w:eastAsia="Arial" w:hAnsi="Arial" w:cs="Arial"/>
              <w:b/>
              <w:bCs/>
              <w:smallCaps/>
              <w:color w:val="FFFFFF"/>
            </w:rPr>
            <w:t xml:space="preserve"> REVIEW OF DISABILITY STUDIES: AN INTERNATIONAL JOURNAL</w:t>
          </w:r>
        </w:p>
      </w:tc>
      <w:tc>
        <w:tcPr>
          <w:tcW w:w="2461" w:type="dxa"/>
          <w:shd w:val="clear" w:color="auto" w:fill="000000"/>
          <w:vAlign w:val="center"/>
        </w:tcPr>
        <w:p w14:paraId="6EA9813F" w14:textId="77777777" w:rsidR="0006551D"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Volume 20 Issue 4</w:t>
          </w:r>
        </w:p>
        <w:p w14:paraId="77D03330" w14:textId="77777777" w:rsidR="0006551D"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(2026)</w:t>
          </w:r>
        </w:p>
      </w:tc>
    </w:tr>
  </w:tbl>
  <w:p w14:paraId="43735942" w14:textId="77777777" w:rsidR="0006551D" w:rsidRDefault="0006551D">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36541" w14:textId="77777777" w:rsidR="0006551D" w:rsidRDefault="0006551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8A5F"/>
    <w:multiLevelType w:val="multilevel"/>
    <w:tmpl w:val="C71E6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124E2B"/>
    <w:multiLevelType w:val="multilevel"/>
    <w:tmpl w:val="5DFE4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9B8C98"/>
    <w:multiLevelType w:val="multilevel"/>
    <w:tmpl w:val="33E4FB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1BEACA7"/>
    <w:multiLevelType w:val="multilevel"/>
    <w:tmpl w:val="0A12BC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35B7D6"/>
    <w:multiLevelType w:val="multilevel"/>
    <w:tmpl w:val="08C01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544267A"/>
    <w:multiLevelType w:val="multilevel"/>
    <w:tmpl w:val="55AE7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2475432">
    <w:abstractNumId w:val="3"/>
  </w:num>
  <w:num w:numId="2" w16cid:durableId="582184438">
    <w:abstractNumId w:val="5"/>
  </w:num>
  <w:num w:numId="3" w16cid:durableId="1048190646">
    <w:abstractNumId w:val="4"/>
  </w:num>
  <w:num w:numId="4" w16cid:durableId="1511992258">
    <w:abstractNumId w:val="1"/>
  </w:num>
  <w:num w:numId="5" w16cid:durableId="2108693104">
    <w:abstractNumId w:val="0"/>
  </w:num>
  <w:num w:numId="6" w16cid:durableId="1371220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51D"/>
    <w:rsid w:val="00005E84"/>
    <w:rsid w:val="0006551D"/>
    <w:rsid w:val="000B172D"/>
    <w:rsid w:val="000D6503"/>
    <w:rsid w:val="00133756"/>
    <w:rsid w:val="00171563"/>
    <w:rsid w:val="00194274"/>
    <w:rsid w:val="00234432"/>
    <w:rsid w:val="002C2F33"/>
    <w:rsid w:val="003715E1"/>
    <w:rsid w:val="003D2A1E"/>
    <w:rsid w:val="00477DF5"/>
    <w:rsid w:val="004B487C"/>
    <w:rsid w:val="0050376E"/>
    <w:rsid w:val="00533AC3"/>
    <w:rsid w:val="00543D8A"/>
    <w:rsid w:val="00554551"/>
    <w:rsid w:val="005802B6"/>
    <w:rsid w:val="005C6A3B"/>
    <w:rsid w:val="005D1267"/>
    <w:rsid w:val="00604735"/>
    <w:rsid w:val="00694D12"/>
    <w:rsid w:val="006C259E"/>
    <w:rsid w:val="006D105E"/>
    <w:rsid w:val="006F130F"/>
    <w:rsid w:val="00743E4F"/>
    <w:rsid w:val="00833A20"/>
    <w:rsid w:val="008737E6"/>
    <w:rsid w:val="008F2CD9"/>
    <w:rsid w:val="00901C56"/>
    <w:rsid w:val="00911301"/>
    <w:rsid w:val="009A6686"/>
    <w:rsid w:val="00A22A8E"/>
    <w:rsid w:val="00B52F94"/>
    <w:rsid w:val="00C43509"/>
    <w:rsid w:val="00CC4683"/>
    <w:rsid w:val="00D52FA5"/>
    <w:rsid w:val="00D73DE2"/>
    <w:rsid w:val="00D75FFD"/>
    <w:rsid w:val="00E45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79336"/>
  <w15:docId w15:val="{D2640645-8D7C-874C-AD83-F7D7707A5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b/>
      <w:bCs/>
    </w:rPr>
  </w:style>
  <w:style w:type="paragraph" w:styleId="Heading2">
    <w:name w:val="heading 2"/>
    <w:basedOn w:val="Normal"/>
    <w:next w:val="Normal"/>
    <w:uiPriority w:val="9"/>
    <w:semiHidden/>
    <w:unhideWhenUsed/>
    <w:qFormat/>
    <w:pPr>
      <w:pBdr>
        <w:top w:val="nil"/>
        <w:left w:val="nil"/>
        <w:bottom w:val="nil"/>
        <w:right w:val="nil"/>
        <w:between w:val="nil"/>
      </w:pBdr>
      <w:spacing w:after="0"/>
      <w:ind w:firstLine="23"/>
      <w:outlineLvl w:val="1"/>
    </w:pPr>
    <w:rPr>
      <w:b/>
      <w:bCs/>
    </w:rPr>
  </w:style>
  <w:style w:type="paragraph" w:styleId="Heading3">
    <w:name w:val="heading 3"/>
    <w:basedOn w:val="Normal"/>
    <w:next w:val="Normal"/>
    <w:uiPriority w:val="9"/>
    <w:semiHidden/>
    <w:unhideWhenUsed/>
    <w:qFormat/>
    <w:pPr>
      <w:keepNext/>
      <w:keepLines/>
      <w:spacing w:after="0"/>
      <w:ind w:firstLine="0"/>
      <w:outlineLvl w:val="2"/>
    </w:pPr>
    <w:rPr>
      <w:i/>
      <w:iCs/>
    </w:r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jc w:val="center"/>
    </w:pPr>
    <w:rPr>
      <w:rFonts w:ascii="Arial" w:eastAsia="Arial" w:hAnsi="Arial" w:cs="Arial"/>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B52F94"/>
    <w:rPr>
      <w:color w:val="0000FF" w:themeColor="hyperlink"/>
      <w:u w:val="single"/>
    </w:rPr>
  </w:style>
  <w:style w:type="character" w:styleId="UnresolvedMention">
    <w:name w:val="Unresolved Mention"/>
    <w:basedOn w:val="DefaultParagraphFont"/>
    <w:uiPriority w:val="99"/>
    <w:semiHidden/>
    <w:unhideWhenUsed/>
    <w:rsid w:val="00B52F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mailto:wata-t@n-fukushi.ac.jp" TargetMode="External"/><Relationship Id="rId21" Type="http://schemas.openxmlformats.org/officeDocument/2006/relationships/hyperlink" Target="https://rdsjournal.org/index.php/journal/article/view/1221" TargetMode="External"/><Relationship Id="rId42" Type="http://schemas.openxmlformats.org/officeDocument/2006/relationships/hyperlink" Target="http://creativecommons.org/licenses/by/4.0/" TargetMode="External"/><Relationship Id="rId47" Type="http://schemas.openxmlformats.org/officeDocument/2006/relationships/hyperlink" Target="https://doi.org/10.7311/0860-5734.34.2.06" TargetMode="External"/><Relationship Id="rId63" Type="http://schemas.openxmlformats.org/officeDocument/2006/relationships/hyperlink" Target="https://journals.scholarsportal.info/details/23686588/v3inone/nfp_taraidaiacf.xml" TargetMode="External"/><Relationship Id="rId68" Type="http://schemas.openxmlformats.org/officeDocument/2006/relationships/hyperlink" Target="https://doi.org/10.4324/9781032656519" TargetMode="External"/><Relationship Id="rId84" Type="http://schemas.openxmlformats.org/officeDocument/2006/relationships/hyperlink" Target="https://rdsjournal.org/index.php/journal/article/view/1466" TargetMode="External"/><Relationship Id="rId89" Type="http://schemas.openxmlformats.org/officeDocument/2006/relationships/header" Target="header2.xml"/><Relationship Id="rId112" Type="http://schemas.openxmlformats.org/officeDocument/2006/relationships/fontTable" Target="fontTable.xml"/><Relationship Id="rId16" Type="http://schemas.openxmlformats.org/officeDocument/2006/relationships/hyperlink" Target="https://www.helenkeller.org/audio-describing-people-and-portraits-2022/" TargetMode="External"/><Relationship Id="rId107" Type="http://schemas.openxmlformats.org/officeDocument/2006/relationships/header" Target="header5.xml"/><Relationship Id="rId11" Type="http://schemas.openxmlformats.org/officeDocument/2006/relationships/hyperlink" Target="https://rdsjournal.org" TargetMode="External"/><Relationship Id="rId32" Type="http://schemas.openxmlformats.org/officeDocument/2006/relationships/hyperlink" Target="https://doit-japan.org/report-video/" TargetMode="External"/><Relationship Id="rId37" Type="http://schemas.openxmlformats.org/officeDocument/2006/relationships/hyperlink" Target="https://doi.org/10.24691/resja.36.2_122" TargetMode="External"/><Relationship Id="rId53" Type="http://schemas.openxmlformats.org/officeDocument/2006/relationships/hyperlink" Target="https://rdsjournal.org" TargetMode="External"/><Relationship Id="rId58" Type="http://schemas.openxmlformats.org/officeDocument/2006/relationships/hyperlink" Target="https://www.muse.jhu.edu/article/609616" TargetMode="External"/><Relationship Id="rId74" Type="http://schemas.openxmlformats.org/officeDocument/2006/relationships/hyperlink" Target="https://doi.org/10.4337/9781035313839" TargetMode="External"/><Relationship Id="rId79" Type="http://schemas.openxmlformats.org/officeDocument/2006/relationships/hyperlink" Target="https://www.unwomen.org/en/digital-library/publications/2021/03/the-impact-of-covid-19-on-violence-against-women-and-girls-with-disabilities" TargetMode="External"/><Relationship Id="rId102" Type="http://schemas.openxmlformats.org/officeDocument/2006/relationships/hyperlink" Target="http://creativecommons.org/licenses/by/4.0/" TargetMode="External"/><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hyperlink" Target="https://www.proquest.com/dissertations-theses/students-engagement-with-mental-disability/docview/3230177292/se-2?accountid=27140" TargetMode="External"/><Relationship Id="rId22" Type="http://schemas.openxmlformats.org/officeDocument/2006/relationships/hyperlink" Target="https://rdsjournal.org/index.php/journal/article/view/1221" TargetMode="External"/><Relationship Id="rId27" Type="http://schemas.openxmlformats.org/officeDocument/2006/relationships/image" Target="media/image2.png"/><Relationship Id="rId43" Type="http://schemas.openxmlformats.org/officeDocument/2006/relationships/hyperlink" Target="https://rdsjournal.org" TargetMode="External"/><Relationship Id="rId48" Type="http://schemas.openxmlformats.org/officeDocument/2006/relationships/hyperlink" Target="https://adp.acb.org/docs/WBU-ACB%20%20AD%20Survey-FINAL%20REPORT.pdf" TargetMode="External"/><Relationship Id="rId64" Type="http://schemas.openxmlformats.org/officeDocument/2006/relationships/hyperlink" Target="https://rdsjournal.org/index.php/journal/article/view/1426" TargetMode="External"/><Relationship Id="rId69" Type="http://schemas.openxmlformats.org/officeDocument/2006/relationships/hyperlink" Target="https://doi.org/10.4324/9781032656519" TargetMode="External"/><Relationship Id="rId113" Type="http://schemas.openxmlformats.org/officeDocument/2006/relationships/theme" Target="theme/theme1.xml"/><Relationship Id="rId80" Type="http://schemas.openxmlformats.org/officeDocument/2006/relationships/hyperlink" Target="https://rdsjournal.org/index.php/journal/article/view/1442" TargetMode="External"/><Relationship Id="rId85" Type="http://schemas.openxmlformats.org/officeDocument/2006/relationships/hyperlink" Target="http://creativecommons.org/licenses/by/4.0/" TargetMode="External"/><Relationship Id="rId12" Type="http://schemas.openxmlformats.org/officeDocument/2006/relationships/hyperlink" Target="https://orcid.org/0000-0001-6508-0679" TargetMode="External"/><Relationship Id="rId17" Type="http://schemas.openxmlformats.org/officeDocument/2006/relationships/hyperlink" Target="https://doi.org/10.1177/0145482X221116903" TargetMode="External"/><Relationship Id="rId33" Type="http://schemas.openxmlformats.org/officeDocument/2006/relationships/hyperlink" Target="https://doit-japan.org/report-video/" TargetMode="External"/><Relationship Id="rId38" Type="http://schemas.openxmlformats.org/officeDocument/2006/relationships/hyperlink" Target="https://doi.org/10.24691/resja.36.2_122" TargetMode="External"/><Relationship Id="rId59" Type="http://schemas.openxmlformats.org/officeDocument/2006/relationships/hyperlink" Target="https://canadianart.ca/essays/on-tokenization-funding-and-being-an-indigenous-artist-who-is-differently-abled/" TargetMode="External"/><Relationship Id="rId103" Type="http://schemas.openxmlformats.org/officeDocument/2006/relationships/hyperlink" Target="http://creativecommons.org/licenses/by/4.0/" TargetMode="External"/><Relationship Id="rId108" Type="http://schemas.openxmlformats.org/officeDocument/2006/relationships/footer" Target="footer4.xml"/><Relationship Id="rId54" Type="http://schemas.openxmlformats.org/officeDocument/2006/relationships/hyperlink" Target="https://rabble.ca/anti-racism/syrus-marcus-ware-making-revolution-irresistible/" TargetMode="External"/><Relationship Id="rId70" Type="http://schemas.openxmlformats.org/officeDocument/2006/relationships/hyperlink" Target="https://rdsjournal.org/index.php/journal/article/view/1410" TargetMode="External"/><Relationship Id="rId75" Type="http://schemas.openxmlformats.org/officeDocument/2006/relationships/hyperlink" Target="https://doi.org/10.4337/9781035313839" TargetMode="External"/><Relationship Id="rId91" Type="http://schemas.openxmlformats.org/officeDocument/2006/relationships/footer" Target="footer2.xml"/><Relationship Id="rId96" Type="http://schemas.openxmlformats.org/officeDocument/2006/relationships/hyperlink" Target="https://www.proquest.com/dissertations-theses/black-community-college-students-with-nonapparent/docview/3272508267/se-2?accountid=271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dc.gov/visionhealth/basics/ced/fastfacts.htm" TargetMode="External"/><Relationship Id="rId23" Type="http://schemas.openxmlformats.org/officeDocument/2006/relationships/hyperlink" Target="http://creativecommons.org/licenses/by/4.0/" TargetMode="External"/><Relationship Id="rId28" Type="http://schemas.openxmlformats.org/officeDocument/2006/relationships/image" Target="media/image3.png"/><Relationship Id="rId36" Type="http://schemas.openxmlformats.org/officeDocument/2006/relationships/hyperlink" Target="https://www.congress.gov/bill/117th-congress/senate-bill/2401" TargetMode="External"/><Relationship Id="rId49" Type="http://schemas.openxmlformats.org/officeDocument/2006/relationships/hyperlink" Target="https://www.who.int/health-topics/blindness-and-vision-loss" TargetMode="External"/><Relationship Id="rId57" Type="http://schemas.openxmlformats.org/officeDocument/2006/relationships/hyperlink" Target="https://doi.org/10.1080/1600910X.2023.2250926" TargetMode="External"/><Relationship Id="rId106" Type="http://schemas.openxmlformats.org/officeDocument/2006/relationships/header" Target="header4.xml"/><Relationship Id="rId10" Type="http://schemas.openxmlformats.org/officeDocument/2006/relationships/hyperlink" Target="http://creativecommons.org/licenses/by/4.0/" TargetMode="External"/><Relationship Id="rId31" Type="http://schemas.openxmlformats.org/officeDocument/2006/relationships/hyperlink" Target="http://www.swaaac.org/assistive-technology-assessment" TargetMode="External"/><Relationship Id="rId44" Type="http://schemas.openxmlformats.org/officeDocument/2006/relationships/hyperlink" Target="https://www.cdc.gov/visionhealth/basics/ced/fastfacts.htm" TargetMode="External"/><Relationship Id="rId52" Type="http://schemas.openxmlformats.org/officeDocument/2006/relationships/hyperlink" Target="http://creativecommons.org/licenses/by/4.0/" TargetMode="External"/><Relationship Id="rId60" Type="http://schemas.openxmlformats.org/officeDocument/2006/relationships/hyperlink" Target="https://akimbo.ca/akimblog/crip-horizons-disability-art-futurism-by-sean-lee/" TargetMode="External"/><Relationship Id="rId65" Type="http://schemas.openxmlformats.org/officeDocument/2006/relationships/hyperlink" Target="http://creativecommons.org/licenses/by/4.0/" TargetMode="External"/><Relationship Id="rId73" Type="http://schemas.openxmlformats.org/officeDocument/2006/relationships/hyperlink" Target="https://rdsjournal.org" TargetMode="External"/><Relationship Id="rId78" Type="http://schemas.openxmlformats.org/officeDocument/2006/relationships/hyperlink" Target="https://www.unwomen.org/en/digital-library/publications/2021/03/the-impact-of-covid-19-on-violence-against-women-and-girls-with-disabilities" TargetMode="External"/><Relationship Id="rId81" Type="http://schemas.openxmlformats.org/officeDocument/2006/relationships/hyperlink" Target="http://creativecommons.org/licenses/by/4.0/" TargetMode="External"/><Relationship Id="rId86" Type="http://schemas.openxmlformats.org/officeDocument/2006/relationships/hyperlink" Target="http://creativecommons.org/licenses/by/4.0/" TargetMode="External"/><Relationship Id="rId94" Type="http://schemas.openxmlformats.org/officeDocument/2006/relationships/hyperlink" Target="https://www.proquest.com/dissertations-theses/understanding-disability-becoming-disabled/docview/3224180440/se-2?accountid=27140" TargetMode="External"/><Relationship Id="rId99" Type="http://schemas.openxmlformats.org/officeDocument/2006/relationships/hyperlink" Target="https://www.proquest.com/dissertations-theses/body-politic-disability-political-cohesion/docview/3244904232/se-2?accountid=27140" TargetMode="External"/><Relationship Id="rId101" Type="http://schemas.openxmlformats.org/officeDocument/2006/relationships/hyperlink" Target="https://rdsjournal.org/index.php/journal/article/viewk/1464" TargetMode="External"/><Relationship Id="rId4" Type="http://schemas.openxmlformats.org/officeDocument/2006/relationships/webSettings" Target="webSettings.xml"/><Relationship Id="rId9" Type="http://schemas.openxmlformats.org/officeDocument/2006/relationships/hyperlink" Target="http://creativecommons.org/licenses/by/4.0/" TargetMode="External"/><Relationship Id="rId13" Type="http://schemas.openxmlformats.org/officeDocument/2006/relationships/hyperlink" Target="https://orcid.org/0000-0001-6508-0679" TargetMode="External"/><Relationship Id="rId18" Type="http://schemas.openxmlformats.org/officeDocument/2006/relationships/hyperlink" Target="https://doi.org/10.7311/0860-5734.34.2.06" TargetMode="External"/><Relationship Id="rId39" Type="http://schemas.openxmlformats.org/officeDocument/2006/relationships/hyperlink" Target="https://www.who.int/publications/i/item/9789240049451" TargetMode="External"/><Relationship Id="rId109" Type="http://schemas.openxmlformats.org/officeDocument/2006/relationships/footer" Target="footer5.xml"/><Relationship Id="rId34" Type="http://schemas.openxmlformats.org/officeDocument/2006/relationships/hyperlink" Target="https://www.youtube.com/channel/UCXR4qQLA6eVr3UVsUhJK5zQ/featured" TargetMode="External"/><Relationship Id="rId50" Type="http://schemas.openxmlformats.org/officeDocument/2006/relationships/hyperlink" Target="https://rdsjournal.org/index.php/journal/article/view/1391" TargetMode="External"/><Relationship Id="rId55" Type="http://schemas.openxmlformats.org/officeDocument/2006/relationships/hyperlink" Target="https://rabble.ca/anti-racism/syrus-marcus-ware-making-revolution-irresistible/" TargetMode="External"/><Relationship Id="rId76" Type="http://schemas.openxmlformats.org/officeDocument/2006/relationships/hyperlink" Target="https://doi.org/10.4324/9781315577357" TargetMode="External"/><Relationship Id="rId97" Type="http://schemas.openxmlformats.org/officeDocument/2006/relationships/hyperlink" Target="http://eres.library.manoa.hawaii.edu/login?url=https://www.proquest.com/dissertations-theses/disability-reflective-pedagogy-narrative-inquiry/docview/3145231275/se-2?accountid=27140" TargetMode="External"/><Relationship Id="rId104" Type="http://schemas.openxmlformats.org/officeDocument/2006/relationships/hyperlink" Target="https://rdsjournal.org" TargetMode="External"/><Relationship Id="rId7" Type="http://schemas.openxmlformats.org/officeDocument/2006/relationships/image" Target="media/image1.png"/><Relationship Id="rId71" Type="http://schemas.openxmlformats.org/officeDocument/2006/relationships/hyperlink" Target="http://creativecommons.org/licenses/by/4.0/" TargetMode="External"/><Relationship Id="rId92"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yperlink" Target="http://creativecommons.org/licenses/by/4.0/" TargetMode="External"/><Relationship Id="rId40" Type="http://schemas.openxmlformats.org/officeDocument/2006/relationships/hyperlink" Target="https://rdsjournal.org/index.php/journal/article/view/1169" TargetMode="External"/><Relationship Id="rId45" Type="http://schemas.openxmlformats.org/officeDocument/2006/relationships/hyperlink" Target="https://www.helenkeller.org/audio-describing-people-and-portraits-2022/" TargetMode="External"/><Relationship Id="rId66" Type="http://schemas.openxmlformats.org/officeDocument/2006/relationships/hyperlink" Target="http://creativecommons.org/licenses/by/4.0/" TargetMode="External"/><Relationship Id="rId87" Type="http://schemas.openxmlformats.org/officeDocument/2006/relationships/hyperlink" Target="https://rdsjournal.org" TargetMode="External"/><Relationship Id="rId110" Type="http://schemas.openxmlformats.org/officeDocument/2006/relationships/header" Target="header6.xml"/><Relationship Id="rId61" Type="http://schemas.openxmlformats.org/officeDocument/2006/relationships/hyperlink" Target="https://apt613.ca/being-studios-speak-podcast-gives-voice-to-artists-with-disabilities/" TargetMode="External"/><Relationship Id="rId82" Type="http://schemas.openxmlformats.org/officeDocument/2006/relationships/hyperlink" Target="http://creativecommons.org/licenses/by/4.0/" TargetMode="External"/><Relationship Id="rId19" Type="http://schemas.openxmlformats.org/officeDocument/2006/relationships/hyperlink" Target="https://adp.acb.org/docs/WBU-ACB%20%20AD%20Survey-FINAL%20REPORT.pdf" TargetMode="External"/><Relationship Id="rId14" Type="http://schemas.openxmlformats.org/officeDocument/2006/relationships/hyperlink" Target="mailto:lsarchet@niagara.edu" TargetMode="External"/><Relationship Id="rId30" Type="http://schemas.openxmlformats.org/officeDocument/2006/relationships/image" Target="media/image5.png"/><Relationship Id="rId35" Type="http://schemas.openxmlformats.org/officeDocument/2006/relationships/hyperlink" Target="https://www.youtube.com/channel/UCw1cwkhP2YzDhqgsLZ3kxBA" TargetMode="External"/><Relationship Id="rId56" Type="http://schemas.openxmlformats.org/officeDocument/2006/relationships/hyperlink" Target="https://dsq-sds.org/index.php/dsq/article/view/5972/4698" TargetMode="External"/><Relationship Id="rId77" Type="http://schemas.openxmlformats.org/officeDocument/2006/relationships/hyperlink" Target="https://doi.org/10.4324/9781315624839" TargetMode="External"/><Relationship Id="rId100" Type="http://schemas.openxmlformats.org/officeDocument/2006/relationships/hyperlink" Target="https://www.proquest.com/dissertations-theses/disability-education-qualitative-study-teachers/docview/3224362065/se-2?accountid=27140" TargetMode="External"/><Relationship Id="rId105" Type="http://schemas.openxmlformats.org/officeDocument/2006/relationships/hyperlink" Target="https://rdsjournal.org" TargetMode="External"/><Relationship Id="rId8" Type="http://schemas.openxmlformats.org/officeDocument/2006/relationships/hyperlink" Target="https://rdsjournal.org/index.php/journal/article/view/1465" TargetMode="External"/><Relationship Id="rId51" Type="http://schemas.openxmlformats.org/officeDocument/2006/relationships/hyperlink" Target="http://creativecommons.org/licenses/by/4.0/" TargetMode="External"/><Relationship Id="rId72" Type="http://schemas.openxmlformats.org/officeDocument/2006/relationships/hyperlink" Target="http://creativecommons.org/licenses/by/4.0/" TargetMode="External"/><Relationship Id="rId93" Type="http://schemas.openxmlformats.org/officeDocument/2006/relationships/footer" Target="footer3.xml"/><Relationship Id="rId98" Type="http://schemas.openxmlformats.org/officeDocument/2006/relationships/hyperlink" Target="https://www.proquest.com/dissertations-theses/disability-specific-personal-factors-academic/docview/3250338125/se-2?accountid=27140" TargetMode="External"/><Relationship Id="rId3" Type="http://schemas.openxmlformats.org/officeDocument/2006/relationships/settings" Target="settings.xml"/><Relationship Id="rId25" Type="http://schemas.openxmlformats.org/officeDocument/2006/relationships/hyperlink" Target="https://rdsjournal.org" TargetMode="External"/><Relationship Id="rId46" Type="http://schemas.openxmlformats.org/officeDocument/2006/relationships/hyperlink" Target="https://doi.org/10.1177/0145482X221116903" TargetMode="External"/><Relationship Id="rId67" Type="http://schemas.openxmlformats.org/officeDocument/2006/relationships/hyperlink" Target="https://rdsjournal.org" TargetMode="External"/><Relationship Id="rId20" Type="http://schemas.openxmlformats.org/officeDocument/2006/relationships/hyperlink" Target="https://www.who.int/health-topics/blindness-and-vision-loss" TargetMode="External"/><Relationship Id="rId41" Type="http://schemas.openxmlformats.org/officeDocument/2006/relationships/hyperlink" Target="http://creativecommons.org/licenses/by/4.0/" TargetMode="External"/><Relationship Id="rId62" Type="http://schemas.openxmlformats.org/officeDocument/2006/relationships/hyperlink" Target="https://doi.org/10.15353/cjds.v8i1.469" TargetMode="External"/><Relationship Id="rId83" Type="http://schemas.openxmlformats.org/officeDocument/2006/relationships/hyperlink" Target="https://rdsjournal.org" TargetMode="External"/><Relationship Id="rId88" Type="http://schemas.openxmlformats.org/officeDocument/2006/relationships/header" Target="header1.xml"/><Relationship Id="rId111"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136</Pages>
  <Words>34390</Words>
  <Characters>196029</Characters>
  <Application>Microsoft Office Word</Application>
  <DocSecurity>0</DocSecurity>
  <Lines>1633</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3</cp:revision>
  <dcterms:created xsi:type="dcterms:W3CDTF">2026-04-07T06:27:00Z</dcterms:created>
  <dcterms:modified xsi:type="dcterms:W3CDTF">2026-04-07T06:42:00Z</dcterms:modified>
</cp:coreProperties>
</file>